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tabs>
          <w:tab w:val="left" w:pos="5880" w:leader="none"/>
        </w:tabs>
        <w:jc w:val="center"/>
        <w:outlineLvl w:val="0"/>
        <w:rPr/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Приложение </w:t>
      </w:r>
    </w:p>
    <w:p>
      <w:pPr>
        <w:pStyle w:val="1"/>
        <w:tabs>
          <w:tab w:val="left" w:pos="5880" w:leader="none"/>
        </w:tabs>
        <w:spacing w:before="0" w:after="0"/>
        <w:rPr/>
      </w:pPr>
      <w:r>
        <w:rPr>
          <w:rFonts w:ascii="Times New Roman" w:hAnsi="Times New Roman"/>
          <w:b w:val="false"/>
          <w:color w:val="000000"/>
          <w:sz w:val="28"/>
          <w:szCs w:val="28"/>
        </w:rPr>
        <w:t xml:space="preserve">                                                                     </w:t>
      </w:r>
      <w:r>
        <w:rPr>
          <w:rFonts w:ascii="Times New Roman" w:hAnsi="Times New Roman"/>
          <w:b w:val="false"/>
          <w:color w:val="000000"/>
          <w:sz w:val="28"/>
          <w:szCs w:val="28"/>
        </w:rPr>
        <w:t xml:space="preserve">к постановлению администрации </w:t>
      </w:r>
    </w:p>
    <w:p>
      <w:pPr>
        <w:pStyle w:val="1"/>
        <w:tabs>
          <w:tab w:val="left" w:pos="5880" w:leader="none"/>
        </w:tabs>
        <w:spacing w:before="0" w:after="0"/>
        <w:rPr/>
      </w:pPr>
      <w:r>
        <w:rPr>
          <w:rFonts w:ascii="Times New Roman" w:hAnsi="Times New Roman"/>
          <w:b w:val="false"/>
          <w:color w:val="000000"/>
          <w:sz w:val="28"/>
          <w:szCs w:val="28"/>
        </w:rPr>
        <w:t xml:space="preserve">                                                                  </w:t>
      </w:r>
      <w:r>
        <w:rPr>
          <w:rFonts w:ascii="Times New Roman" w:hAnsi="Times New Roman"/>
          <w:b w:val="false"/>
          <w:color w:val="000000"/>
          <w:sz w:val="28"/>
          <w:szCs w:val="28"/>
        </w:rPr>
        <w:t xml:space="preserve">Свердловского района </w:t>
      </w:r>
    </w:p>
    <w:p>
      <w:pPr>
        <w:pStyle w:val="1"/>
        <w:tabs>
          <w:tab w:val="left" w:pos="5880" w:leader="none"/>
        </w:tabs>
        <w:spacing w:before="0" w:after="0"/>
        <w:jc w:val="right"/>
        <w:rPr/>
      </w:pPr>
      <w:r>
        <w:rPr>
          <w:rFonts w:ascii="Times New Roman" w:hAnsi="Times New Roman"/>
          <w:b w:val="false"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 w:val="false"/>
          <w:color w:val="000000"/>
          <w:sz w:val="28"/>
          <w:szCs w:val="28"/>
        </w:rPr>
        <w:t>от  ________________ 20</w:t>
      </w:r>
      <w:r>
        <w:rPr>
          <w:rFonts w:ascii="Times New Roman" w:hAnsi="Times New Roman"/>
          <w:b w:val="false"/>
          <w:color w:val="000000"/>
          <w:sz w:val="28"/>
          <w:szCs w:val="28"/>
        </w:rPr>
        <w:t>20</w:t>
      </w:r>
      <w:r>
        <w:rPr>
          <w:rFonts w:ascii="Times New Roman" w:hAnsi="Times New Roman"/>
          <w:b w:val="false"/>
          <w:color w:val="000000"/>
          <w:sz w:val="28"/>
          <w:szCs w:val="28"/>
        </w:rPr>
        <w:t>г.   № ____</w:t>
      </w:r>
    </w:p>
    <w:p>
      <w:pPr>
        <w:pStyle w:val="1"/>
        <w:ind w:right="-16" w:hanging="0"/>
        <w:rPr>
          <w:rFonts w:ascii="Times New Roman" w:hAnsi="Times New Roman"/>
          <w:b w:val="false"/>
          <w:b w:val="false"/>
          <w:color w:val="000000"/>
          <w:sz w:val="28"/>
          <w:szCs w:val="28"/>
        </w:rPr>
      </w:pPr>
      <w:r>
        <w:rPr>
          <w:rFonts w:ascii="Times New Roman" w:hAnsi="Times New Roman"/>
          <w:b w:val="false"/>
          <w:color w:val="000000"/>
          <w:sz w:val="28"/>
          <w:szCs w:val="28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tabs>
          <w:tab w:val="left" w:pos="0" w:leader="none"/>
          <w:tab w:val="center" w:pos="4680" w:leader="none"/>
          <w:tab w:val="center" w:pos="4770" w:leader="none"/>
          <w:tab w:val="left" w:pos="4956" w:leader="none"/>
          <w:tab w:val="left" w:pos="6040" w:leader="none"/>
        </w:tabs>
        <w:jc w:val="center"/>
        <w:rPr/>
      </w:pPr>
      <w:r>
        <w:rPr>
          <w:rFonts w:cs="Times New Roman" w:ascii="Times New Roman" w:hAnsi="Times New Roman"/>
          <w:b/>
          <w:sz w:val="60"/>
          <w:szCs w:val="60"/>
        </w:rPr>
        <w:t>Муниципальная  программа</w:t>
      </w:r>
    </w:p>
    <w:p>
      <w:pPr>
        <w:pStyle w:val="Normal"/>
        <w:tabs>
          <w:tab w:val="left" w:pos="0" w:leader="none"/>
          <w:tab w:val="center" w:pos="4680" w:leader="none"/>
          <w:tab w:val="center" w:pos="4770" w:leader="none"/>
          <w:tab w:val="left" w:pos="4956" w:leader="none"/>
          <w:tab w:val="left" w:pos="6040" w:leader="none"/>
        </w:tabs>
        <w:jc w:val="center"/>
        <w:rPr/>
      </w:pPr>
      <w:r>
        <w:rPr>
          <w:rFonts w:cs="Times New Roman" w:ascii="Times New Roman" w:hAnsi="Times New Roman"/>
          <w:b/>
          <w:sz w:val="40"/>
          <w:szCs w:val="40"/>
        </w:rPr>
        <w:t xml:space="preserve">«Формирование современной городской среды на территории городского поселения Змиевка Свердловского района Орловская область  </w:t>
      </w:r>
    </w:p>
    <w:p>
      <w:pPr>
        <w:pStyle w:val="Normal"/>
        <w:tabs>
          <w:tab w:val="left" w:pos="0" w:leader="none"/>
          <w:tab w:val="center" w:pos="4680" w:leader="none"/>
          <w:tab w:val="center" w:pos="4770" w:leader="none"/>
          <w:tab w:val="left" w:pos="4956" w:leader="none"/>
          <w:tab w:val="left" w:pos="6040" w:leader="none"/>
        </w:tabs>
        <w:jc w:val="center"/>
        <w:rPr/>
      </w:pPr>
      <w:r>
        <w:rPr>
          <w:rFonts w:cs="Times New Roman" w:ascii="Times New Roman" w:hAnsi="Times New Roman"/>
          <w:b/>
          <w:sz w:val="40"/>
          <w:szCs w:val="40"/>
        </w:rPr>
        <w:t xml:space="preserve">в 2019-2024 годах»                  </w:t>
      </w:r>
    </w:p>
    <w:p>
      <w:pPr>
        <w:pStyle w:val="Normal"/>
        <w:tabs>
          <w:tab w:val="left" w:pos="0" w:leader="none"/>
          <w:tab w:val="center" w:pos="4680" w:leader="none"/>
          <w:tab w:val="center" w:pos="4770" w:leader="none"/>
          <w:tab w:val="left" w:pos="4956" w:leader="none"/>
          <w:tab w:val="left" w:pos="6040" w:leader="none"/>
        </w:tabs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cs="Times New Roman" w:ascii="Times New Roman" w:hAnsi="Times New Roman"/>
          <w:sz w:val="40"/>
          <w:szCs w:val="40"/>
        </w:rPr>
      </w:r>
    </w:p>
    <w:p>
      <w:pPr>
        <w:pStyle w:val="Normal"/>
        <w:rPr/>
      </w:pPr>
      <w:r>
        <w:rPr/>
      </w:r>
    </w:p>
    <w:p>
      <w:pPr>
        <w:pStyle w:val="1"/>
        <w:tabs>
          <w:tab w:val="left" w:pos="0" w:leader="none"/>
        </w:tabs>
        <w:rPr>
          <w:rFonts w:ascii="Times New Roman" w:hAnsi="Times New Roman"/>
          <w:b w:val="false"/>
          <w:b w:val="false"/>
          <w:color w:val="000000"/>
          <w:sz w:val="40"/>
        </w:rPr>
      </w:pPr>
      <w:r>
        <w:rPr>
          <w:rFonts w:ascii="Times New Roman" w:hAnsi="Times New Roman"/>
          <w:b w:val="false"/>
          <w:color w:val="000000"/>
          <w:sz w:val="40"/>
        </w:rPr>
      </w:r>
    </w:p>
    <w:p>
      <w:pPr>
        <w:pStyle w:val="1"/>
        <w:tabs>
          <w:tab w:val="left" w:pos="0" w:leader="none"/>
        </w:tabs>
        <w:rPr>
          <w:rFonts w:ascii="Times New Roman" w:hAnsi="Times New Roman"/>
          <w:b w:val="false"/>
          <w:b w:val="false"/>
          <w:color w:val="000000"/>
          <w:sz w:val="40"/>
        </w:rPr>
      </w:pPr>
      <w:r>
        <w:rPr>
          <w:rFonts w:ascii="Times New Roman" w:hAnsi="Times New Roman"/>
          <w:b w:val="false"/>
          <w:color w:val="000000"/>
          <w:sz w:val="40"/>
        </w:rPr>
      </w:r>
    </w:p>
    <w:p>
      <w:pPr>
        <w:pStyle w:val="1"/>
        <w:tabs>
          <w:tab w:val="left" w:pos="0" w:leader="none"/>
        </w:tabs>
        <w:rPr>
          <w:rFonts w:ascii="Times New Roman" w:hAnsi="Times New Roman"/>
          <w:b w:val="false"/>
          <w:b w:val="false"/>
          <w:color w:val="000000"/>
          <w:sz w:val="40"/>
        </w:rPr>
      </w:pPr>
      <w:r>
        <w:rPr>
          <w:rFonts w:ascii="Times New Roman" w:hAnsi="Times New Roman"/>
          <w:b w:val="false"/>
          <w:color w:val="000000"/>
          <w:sz w:val="40"/>
        </w:rPr>
      </w:r>
    </w:p>
    <w:p>
      <w:pPr>
        <w:pStyle w:val="1"/>
        <w:tabs>
          <w:tab w:val="left" w:pos="0" w:leader="none"/>
        </w:tabs>
        <w:rPr>
          <w:rFonts w:ascii="Times New Roman" w:hAnsi="Times New Roman"/>
          <w:b w:val="false"/>
          <w:b w:val="false"/>
          <w:color w:val="000000"/>
          <w:sz w:val="40"/>
        </w:rPr>
      </w:pPr>
      <w:r>
        <w:rPr>
          <w:rFonts w:ascii="Times New Roman" w:hAnsi="Times New Roman"/>
          <w:b w:val="false"/>
          <w:color w:val="000000"/>
          <w:sz w:val="40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sz w:val="28"/>
          <w:szCs w:val="28"/>
        </w:rPr>
        <w:t>20</w:t>
      </w:r>
      <w:r>
        <w:rPr>
          <w:rFonts w:cs="Times New Roman" w:ascii="Times New Roman" w:hAnsi="Times New Roman"/>
          <w:sz w:val="28"/>
          <w:szCs w:val="28"/>
        </w:rPr>
        <w:t>20</w:t>
      </w:r>
      <w:r>
        <w:rPr>
          <w:rFonts w:cs="Times New Roman" w:ascii="Times New Roman" w:hAnsi="Times New Roman"/>
          <w:sz w:val="28"/>
          <w:szCs w:val="28"/>
        </w:rPr>
        <w:t xml:space="preserve"> год</w:t>
      </w:r>
    </w:p>
    <w:p>
      <w:pPr>
        <w:pStyle w:val="Normal"/>
        <w:tabs>
          <w:tab w:val="left" w:pos="0" w:leader="none"/>
          <w:tab w:val="center" w:pos="4680" w:leader="none"/>
          <w:tab w:val="center" w:pos="4770" w:leader="none"/>
          <w:tab w:val="left" w:pos="4956" w:leader="none"/>
          <w:tab w:val="left" w:pos="6040" w:leader="none"/>
        </w:tabs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tabs>
          <w:tab w:val="left" w:pos="0" w:leader="none"/>
          <w:tab w:val="center" w:pos="4680" w:leader="none"/>
          <w:tab w:val="center" w:pos="4770" w:leader="none"/>
          <w:tab w:val="left" w:pos="4956" w:leader="none"/>
          <w:tab w:val="left" w:pos="6040" w:leader="none"/>
        </w:tabs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tabs>
          <w:tab w:val="left" w:pos="0" w:leader="none"/>
          <w:tab w:val="center" w:pos="4680" w:leader="none"/>
          <w:tab w:val="center" w:pos="4770" w:leader="none"/>
          <w:tab w:val="left" w:pos="4956" w:leader="none"/>
          <w:tab w:val="left" w:pos="6040" w:leader="none"/>
        </w:tabs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tabs>
          <w:tab w:val="left" w:pos="0" w:leader="none"/>
          <w:tab w:val="center" w:pos="4680" w:leader="none"/>
          <w:tab w:val="center" w:pos="4770" w:leader="none"/>
          <w:tab w:val="left" w:pos="4956" w:leader="none"/>
          <w:tab w:val="left" w:pos="6040" w:leader="none"/>
        </w:tabs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tabs>
          <w:tab w:val="left" w:pos="0" w:leader="none"/>
          <w:tab w:val="center" w:pos="4680" w:leader="none"/>
          <w:tab w:val="center" w:pos="4770" w:leader="none"/>
          <w:tab w:val="left" w:pos="4956" w:leader="none"/>
          <w:tab w:val="left" w:pos="6040" w:leader="none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left" w:pos="0" w:leader="none"/>
          <w:tab w:val="center" w:pos="4680" w:leader="none"/>
          <w:tab w:val="center" w:pos="4770" w:leader="none"/>
          <w:tab w:val="left" w:pos="4956" w:leader="none"/>
          <w:tab w:val="left" w:pos="6040" w:leader="none"/>
        </w:tabs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>Паспорт</w:t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>муниципальной программы</w:t>
      </w:r>
    </w:p>
    <w:p>
      <w:pPr>
        <w:pStyle w:val="Normal"/>
        <w:tabs>
          <w:tab w:val="left" w:pos="0" w:leader="none"/>
          <w:tab w:val="center" w:pos="4680" w:leader="none"/>
          <w:tab w:val="center" w:pos="4770" w:leader="none"/>
          <w:tab w:val="left" w:pos="4956" w:leader="none"/>
          <w:tab w:val="left" w:pos="6040" w:leader="none"/>
        </w:tabs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>" Формирование современной городской среды на территории</w:t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>городского поселения Змиевка Свердловского района Орловской области  в 2019-2024 годах "</w:t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tbl>
      <w:tblPr>
        <w:tblW w:w="9548" w:type="dxa"/>
        <w:jc w:val="left"/>
        <w:tblInd w:w="4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0" w:type="dxa"/>
          <w:left w:w="0" w:type="dxa"/>
          <w:bottom w:w="0" w:type="dxa"/>
          <w:right w:w="10" w:type="dxa"/>
        </w:tblCellMar>
        <w:tblLook w:val="04a0"/>
      </w:tblPr>
      <w:tblGrid>
        <w:gridCol w:w="2025"/>
        <w:gridCol w:w="7522"/>
      </w:tblGrid>
      <w:tr>
        <w:trPr/>
        <w:tc>
          <w:tcPr>
            <w:tcW w:w="20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Наименование муниципальной программы</w:t>
            </w:r>
          </w:p>
        </w:tc>
        <w:tc>
          <w:tcPr>
            <w:tcW w:w="75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Normal"/>
              <w:tabs>
                <w:tab w:val="left" w:pos="0" w:leader="none"/>
                <w:tab w:val="center" w:pos="4680" w:leader="none"/>
                <w:tab w:val="center" w:pos="4770" w:leader="none"/>
                <w:tab w:val="left" w:pos="4956" w:leader="none"/>
                <w:tab w:val="left" w:pos="6040" w:leader="none"/>
              </w:tabs>
              <w:jc w:val="both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"Формирование современной городской среды на территории городского поселения Змиевка Свердловского района Орловской области  в 2019-2024 годах" (далее – Программа)</w:t>
            </w:r>
          </w:p>
        </w:tc>
      </w:tr>
      <w:tr>
        <w:trPr/>
        <w:tc>
          <w:tcPr>
            <w:tcW w:w="20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Ответственный исполнитель Программы</w:t>
            </w:r>
          </w:p>
        </w:tc>
        <w:tc>
          <w:tcPr>
            <w:tcW w:w="75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Администрация Свердловского района</w:t>
            </w:r>
          </w:p>
        </w:tc>
      </w:tr>
      <w:tr>
        <w:trPr/>
        <w:tc>
          <w:tcPr>
            <w:tcW w:w="20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Перечень основных мероприятий муниципальной Программы</w:t>
            </w:r>
          </w:p>
        </w:tc>
        <w:tc>
          <w:tcPr>
            <w:tcW w:w="75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1: Информирование жителей городского поселения Змиевка о реализации приоритетного проекта «ЖКХ и городская среда»;</w:t>
            </w:r>
          </w:p>
          <w:p>
            <w:pPr>
              <w:pStyle w:val="Normal"/>
              <w:jc w:val="both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2: Привлечение жителей городского поселения Змиевка  к принятию решений об обращении с предложением по включению дворовой территории, подлежащей благоустройству, в Программу;</w:t>
            </w:r>
          </w:p>
          <w:p>
            <w:pPr>
              <w:pStyle w:val="Normal"/>
              <w:jc w:val="both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3: Привлечение граждан и организаций городского поселения Змиевка   к принятию решений об обращении с предложением по включению общественной территории, подлежащей благоустройству, в Программу;</w:t>
            </w:r>
          </w:p>
          <w:p>
            <w:pPr>
              <w:pStyle w:val="Normal"/>
              <w:jc w:val="both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4: Подготовка и утверждение с учетом обсуждения с представителями заинтересованных лиц дизайн-проектов благоустройства дворовых территорий.</w:t>
            </w:r>
          </w:p>
          <w:p>
            <w:pPr>
              <w:pStyle w:val="Normal"/>
              <w:jc w:val="both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5: Подготовка и утверждение дизайн-проектов благоустройства общественных территорий. </w:t>
            </w:r>
          </w:p>
          <w:p>
            <w:pPr>
              <w:pStyle w:val="Normal"/>
              <w:jc w:val="both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6: Выполнение работ по благоустройству дворовых и общественных территорий.</w:t>
            </w:r>
          </w:p>
        </w:tc>
      </w:tr>
      <w:tr>
        <w:trPr/>
        <w:tc>
          <w:tcPr>
            <w:tcW w:w="20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Цели Программы</w:t>
            </w:r>
          </w:p>
        </w:tc>
        <w:tc>
          <w:tcPr>
            <w:tcW w:w="75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Повышение качества и комфорта городской среды на территории  городского поселения Змиевка.</w:t>
            </w:r>
          </w:p>
        </w:tc>
      </w:tr>
      <w:tr>
        <w:trPr/>
        <w:tc>
          <w:tcPr>
            <w:tcW w:w="20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Задачи Программы</w:t>
            </w:r>
          </w:p>
        </w:tc>
        <w:tc>
          <w:tcPr>
            <w:tcW w:w="75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1.Повышение уровня комплексного благоустройства дворовых территорий многоквартирных домов,  общественных территорий городского поселения Змиевка;  </w:t>
            </w:r>
          </w:p>
          <w:p>
            <w:pPr>
              <w:pStyle w:val="Normal"/>
              <w:jc w:val="both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2.Повышение уровня вовлеченности заинтересованных граждан, организаций в реализацию мероприятий по благоустройству и активизация участия граждан в решении вопросов местного значения.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20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Целевые индикаторы и показатели Программы</w:t>
            </w:r>
          </w:p>
        </w:tc>
        <w:tc>
          <w:tcPr>
            <w:tcW w:w="75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1.Количество протоколов общих собраний собственников помещений в многоквартирных домах, количество решений собственников зданий и сооружений, образующих дворовую территорию, о включении дворовой территории в Программу. </w:t>
            </w:r>
          </w:p>
          <w:p>
            <w:pPr>
              <w:pStyle w:val="Normal"/>
              <w:jc w:val="both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2. Количество  благоустроенных дворовых территорий.</w:t>
            </w:r>
          </w:p>
          <w:p>
            <w:pPr>
              <w:pStyle w:val="Normal"/>
              <w:jc w:val="both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3. Количество благоустроенных общественных территорий.</w:t>
            </w:r>
          </w:p>
          <w:p>
            <w:pPr>
              <w:pStyle w:val="Normal"/>
              <w:jc w:val="both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4.Доля граждан, принявших участие в решении вопросов развития городской среды от общего количества граждан  в возрасте от 14 лет, проживающих на территории городского поселения Змиевка Свердловского района» 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20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Сроки реализации Программы</w:t>
            </w:r>
          </w:p>
        </w:tc>
        <w:tc>
          <w:tcPr>
            <w:tcW w:w="75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Муниципальная программа реализуется в  2019-2024 годах</w:t>
            </w:r>
          </w:p>
        </w:tc>
      </w:tr>
      <w:tr>
        <w:trPr/>
        <w:tc>
          <w:tcPr>
            <w:tcW w:w="20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Объемы бюджетных ассигнований на реализацию муниципальной Программы</w:t>
            </w:r>
          </w:p>
        </w:tc>
        <w:tc>
          <w:tcPr>
            <w:tcW w:w="75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Общий объем финансирования Программы на </w:t>
            </w: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2019 год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  составляет </w:t>
            </w:r>
          </w:p>
          <w:p>
            <w:pPr>
              <w:pStyle w:val="Normal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                         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3303,043 тыс. руб., из них:</w:t>
            </w:r>
          </w:p>
          <w:p>
            <w:pPr>
              <w:pStyle w:val="Normal"/>
              <w:jc w:val="both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- средства федерального бюджета – 2114,06313 тыс. руб.</w:t>
            </w:r>
          </w:p>
          <w:p>
            <w:pPr>
              <w:pStyle w:val="Normal"/>
              <w:jc w:val="both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- средства бюджета Орловской области – 21,35417 тыс. руб.</w:t>
            </w:r>
          </w:p>
          <w:p>
            <w:pPr>
              <w:pStyle w:val="Normal"/>
              <w:jc w:val="both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- средства Дорожного Фонда Орловской области – 1134,59527 тыс. руб.</w:t>
            </w:r>
          </w:p>
          <w:p>
            <w:pPr>
              <w:pStyle w:val="Normal"/>
              <w:jc w:val="both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- средства бюджета   городского поселения Змиевка  - 33,03043тыс. Руб.</w:t>
            </w:r>
          </w:p>
          <w:p>
            <w:pPr>
              <w:pStyle w:val="Normal"/>
              <w:jc w:val="both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В том числе:</w:t>
            </w:r>
          </w:p>
          <w:p>
            <w:pPr>
              <w:pStyle w:val="Normal"/>
              <w:jc w:val="both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на финансирование мероприятий  по благоустройству дворовых территорий составляет – 3303,043 тыс. руб. из них: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jc w:val="both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- средства федерального бюджета – 2114,06313 тыс. руб.</w:t>
            </w:r>
          </w:p>
          <w:p>
            <w:pPr>
              <w:pStyle w:val="Normal"/>
              <w:jc w:val="both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- средства бюджета Орловской области – 21,35417 тыс. руб.</w:t>
            </w:r>
          </w:p>
          <w:p>
            <w:pPr>
              <w:pStyle w:val="Normal"/>
              <w:jc w:val="both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- средства Дорожного Фонда Орловской области – 1134,59527 тыс. руб.</w:t>
            </w:r>
          </w:p>
          <w:p>
            <w:pPr>
              <w:pStyle w:val="Normal"/>
              <w:jc w:val="both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- средства бюджета   городского поселения Змиевка  - 33,03043тыс. Руб.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Общий объем финансирования Программы на </w:t>
            </w: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2020 год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  составляет </w:t>
            </w:r>
          </w:p>
          <w:p>
            <w:pPr>
              <w:pStyle w:val="Normal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                         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3649,441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 тыс. руб., из них:</w:t>
            </w:r>
          </w:p>
          <w:p>
            <w:pPr>
              <w:pStyle w:val="Normal"/>
              <w:jc w:val="both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- средства федерального бюджета – 1824,52976 тыс. руб.</w:t>
            </w:r>
          </w:p>
          <w:p>
            <w:pPr>
              <w:pStyle w:val="Normal"/>
              <w:jc w:val="both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- средства бюджета Орловской области – 18,42959 тыс. руб.</w:t>
            </w:r>
          </w:p>
          <w:p>
            <w:pPr>
              <w:pStyle w:val="Normal"/>
              <w:jc w:val="both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- средства Дорожного Фонда Орловской области – 1617,56423 тыс. руб.</w:t>
            </w:r>
          </w:p>
          <w:p>
            <w:pPr>
              <w:pStyle w:val="Normal"/>
              <w:jc w:val="both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- средства бюджета   городского поселения Змиевка  - 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188,91742 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тыс. руб.</w:t>
            </w:r>
          </w:p>
          <w:p>
            <w:pPr>
              <w:pStyle w:val="Normal"/>
              <w:jc w:val="both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В том числе:</w:t>
            </w:r>
          </w:p>
          <w:p>
            <w:pPr>
              <w:pStyle w:val="Normal"/>
              <w:jc w:val="both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на финансирование мероприятий  по благоустройству дворовых территорий составляет – 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3649,441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 тыс. руб. из них: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jc w:val="both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- средства федерального бюджета – 1824,52976 тыс. руб.</w:t>
            </w:r>
          </w:p>
          <w:p>
            <w:pPr>
              <w:pStyle w:val="Normal"/>
              <w:jc w:val="both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- средства бюджета Орловской области – 18,42959 тыс. руб.</w:t>
            </w:r>
          </w:p>
          <w:p>
            <w:pPr>
              <w:pStyle w:val="Normal"/>
              <w:jc w:val="both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- средства Дорожного Фонда Орловской области – 1617,56423 тыс. руб.</w:t>
            </w:r>
          </w:p>
          <w:p>
            <w:pPr>
              <w:pStyle w:val="Normal"/>
              <w:jc w:val="both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- средства бюджета   городского поселения Змиевка  -  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188,91742 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тыс. руб.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20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Ожидаемые результаты реализации Программы</w:t>
            </w:r>
          </w:p>
        </w:tc>
        <w:tc>
          <w:tcPr>
            <w:tcW w:w="75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numPr>
                <w:ilvl w:val="0"/>
                <w:numId w:val="2"/>
              </w:numPr>
              <w:ind w:left="840" w:hanging="480"/>
              <w:jc w:val="both"/>
              <w:rPr/>
            </w:pPr>
            <w:r>
              <w:rPr>
                <w:sz w:val="28"/>
                <w:szCs w:val="28"/>
              </w:rPr>
              <w:t>Количество благоустроенных дворовых территорий составит 26 единиц.</w:t>
            </w:r>
          </w:p>
          <w:p>
            <w:pPr>
              <w:pStyle w:val="ConsPlusNormal"/>
              <w:numPr>
                <w:ilvl w:val="0"/>
                <w:numId w:val="2"/>
              </w:numPr>
              <w:ind w:left="840" w:hanging="480"/>
              <w:jc w:val="both"/>
              <w:rPr/>
            </w:pPr>
            <w:r>
              <w:rPr>
                <w:sz w:val="28"/>
                <w:szCs w:val="28"/>
              </w:rPr>
              <w:t>Количество благоустроенных общественных территорий составит 3 единицы.</w:t>
            </w:r>
          </w:p>
          <w:p>
            <w:pPr>
              <w:pStyle w:val="ConsPlusNormal"/>
              <w:numPr>
                <w:ilvl w:val="0"/>
                <w:numId w:val="2"/>
              </w:numPr>
              <w:ind w:left="840" w:hanging="480"/>
              <w:jc w:val="both"/>
              <w:rPr/>
            </w:pPr>
            <w:r>
              <w:rPr>
                <w:sz w:val="28"/>
                <w:szCs w:val="28"/>
              </w:rPr>
              <w:t>Подготовка проектно-сметной документации  - 29  единиц.</w:t>
            </w:r>
          </w:p>
          <w:p>
            <w:pPr>
              <w:pStyle w:val="ConsPlus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</w:tbl>
    <w:p>
      <w:pPr>
        <w:pStyle w:val="Normal"/>
        <w:jc w:val="both"/>
        <w:rPr/>
      </w:pPr>
      <w:r>
        <w:rPr/>
      </w:r>
      <w:bookmarkStart w:id="0" w:name="redstr"/>
      <w:bookmarkStart w:id="1" w:name="redstr"/>
      <w:bookmarkEnd w:id="1"/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 xml:space="preserve">Раздел 1. Общая характеристика сферы реализации муниципальной программы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              </w:t>
      </w:r>
      <w:r>
        <w:rPr>
          <w:rFonts w:cs="Times New Roman" w:ascii="Times New Roman" w:hAnsi="Times New Roman"/>
          <w:sz w:val="28"/>
          <w:szCs w:val="28"/>
        </w:rPr>
        <w:t xml:space="preserve">Для создания условий системного повышения качества и комфорта городской среды на территории Российской Федерации Минстроем России разработан приоритетный проект «ЖКХ и городская среда». Основная его цель  - создание условий для системного повышения качества и комфорта городской среды на всей территории Российской Федерации. С целью приведения дворовых  и общественных территорий к современным нормам комфортности в городском поселении Змиевка разработана данная Программа, в которой предусматриваются основные мероприятия, направленные на улучшение комфортности, благоустройства и доступности данных территорий.  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          </w:t>
      </w:r>
      <w:r>
        <w:rPr>
          <w:rFonts w:cs="Times New Roman" w:ascii="Times New Roman" w:hAnsi="Times New Roman"/>
          <w:sz w:val="28"/>
          <w:szCs w:val="28"/>
        </w:rPr>
        <w:t>Основными проблемами в области благоустройства дворовых территории городского поселения Змиевка является:</w:t>
      </w:r>
    </w:p>
    <w:p>
      <w:pPr>
        <w:pStyle w:val="Normal"/>
        <w:spacing w:lineRule="auto" w:line="264" w:before="0" w:after="15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 xml:space="preserve">-       недостаточное количество детских и спортивных площадок, зон отдыха; </w:t>
      </w:r>
    </w:p>
    <w:p>
      <w:pPr>
        <w:pStyle w:val="Normal"/>
        <w:widowControl/>
        <w:numPr>
          <w:ilvl w:val="0"/>
          <w:numId w:val="1"/>
        </w:numPr>
        <w:spacing w:lineRule="auto" w:line="264" w:before="0" w:after="15"/>
        <w:ind w:left="156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недостаточное количество автостоянок и мест парковки транспортных средств на дворовых и поселковых территориях; </w:t>
      </w:r>
    </w:p>
    <w:p>
      <w:pPr>
        <w:pStyle w:val="Normal"/>
        <w:widowControl/>
        <w:numPr>
          <w:ilvl w:val="0"/>
          <w:numId w:val="1"/>
        </w:numPr>
        <w:spacing w:lineRule="auto" w:line="264" w:before="0" w:after="15"/>
        <w:ind w:left="156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недостаточное количество малых архитектурных форм на дворовых и поселковых территориях; </w:t>
      </w:r>
    </w:p>
    <w:p>
      <w:pPr>
        <w:pStyle w:val="Normal"/>
        <w:spacing w:lineRule="auto" w:line="264" w:before="0" w:after="15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   </w:t>
      </w:r>
      <w:r>
        <w:rPr>
          <w:rFonts w:cs="Times New Roman" w:ascii="Times New Roman" w:hAnsi="Times New Roman"/>
          <w:sz w:val="28"/>
          <w:szCs w:val="28"/>
        </w:rPr>
        <w:t xml:space="preserve">-        недостаточное озеленение дворовых территорий; </w:t>
      </w:r>
    </w:p>
    <w:p>
      <w:pPr>
        <w:pStyle w:val="Normal"/>
        <w:spacing w:lineRule="auto" w:line="264" w:before="0" w:after="15"/>
        <w:jc w:val="both"/>
        <w:rPr/>
      </w:pPr>
      <w:r>
        <w:rPr/>
        <w:t xml:space="preserve">  </w:t>
      </w:r>
      <w:r>
        <w:rPr/>
        <w:t xml:space="preserve">-   </w:t>
      </w:r>
      <w:r>
        <w:rPr>
          <w:rFonts w:cs="Times New Roman" w:ascii="Times New Roman" w:hAnsi="Times New Roman"/>
          <w:sz w:val="28"/>
          <w:szCs w:val="28"/>
        </w:rPr>
        <w:t xml:space="preserve">изнашивание покрытий дворовых проездов и тротуаров,  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   </w:t>
      </w:r>
      <w:r>
        <w:rPr>
          <w:rFonts w:cs="Times New Roman" w:ascii="Times New Roman" w:hAnsi="Times New Roman"/>
          <w:sz w:val="28"/>
          <w:szCs w:val="28"/>
        </w:rPr>
        <w:t xml:space="preserve">-         недостаточное освещение   дворовых и поселковых территорий. 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        </w:t>
      </w:r>
      <w:r>
        <w:rPr>
          <w:rFonts w:cs="Times New Roman" w:ascii="Times New Roman" w:hAnsi="Times New Roman"/>
          <w:sz w:val="28"/>
          <w:szCs w:val="28"/>
        </w:rPr>
        <w:t>Дворовые территории многоквартирных домов  являются важной частью транспортной системы городского поселения Змиевка.   Уровень транспортно-эксплуатационного состояния дворовых территорий многоквартирных домов является одним из показателей, определяющих качество жизни населения. Объекты благоустройства дворов в существующем жилищном фонде городского поселения Змиевка за многолетний период эксплуатации пришли в неудовлетворительное состояние и не отвечают в полной мере современным требованиям.  С увеличением транспортного потока значительно возрос процент физического износа асфальтобетонного покрытия дворовых территорий.  Несоблюдение сроков службы дорожных покрытий увеличивает объемы разрушения асфальтобетонного покрытия и не дает необходимого эффекта в сохранении дворовых территорий.</w:t>
      </w:r>
      <w:r>
        <w:rPr>
          <w:rFonts w:cs="Times New Roman" w:ascii="Times New Roman" w:hAnsi="Times New Roman"/>
          <w:color w:val="FF3333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Из-за недостаточного финансирования отрасли практически не производился ремонт дворовых территорий, в  результате чего пришло в негодность их асфальтобетонное покрытие. </w:t>
      </w:r>
    </w:p>
    <w:p>
      <w:pPr>
        <w:pStyle w:val="Normal"/>
        <w:spacing w:before="0" w:after="15"/>
        <w:ind w:left="-15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        </w:t>
      </w:r>
      <w:r>
        <w:rPr>
          <w:rFonts w:cs="Times New Roman" w:ascii="Times New Roman" w:hAnsi="Times New Roman"/>
          <w:sz w:val="28"/>
          <w:szCs w:val="28"/>
        </w:rPr>
        <w:t>Не в полной мере  городская среда поселка  приспособлена к условиям доступности для инвалидов всех категорий и маломобильных групп населения.</w:t>
      </w:r>
    </w:p>
    <w:p>
      <w:pPr>
        <w:pStyle w:val="Normal"/>
        <w:spacing w:before="0" w:after="15"/>
        <w:ind w:left="-15" w:firstLine="701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Проведенный анализ дворовых территорий позволил определить общее состояние таких важных элементов благоустройства внутриквартальных территорий, как детские игровые и спортивные площадки. Из всех дворовых территорий, расположенных в городском поселении Змиевка, в настоящее время игровыми площадками оборудованы около 10  процентов дворов. На отдельных площадках во дворах сохранились элементы детского - игрового и спортивного оборудования, малых архитектурных форм (качалки, качели,  горки, турники и т.п.), однако, их состояние не обеспечивает безопасность, а также потребностей жителей поселка в игровых и спортивных модулях, они физически и морально устарели. Длительное время не проводилось благоустройство дворов, оборудование пришло в ветхое состояние. Проведение работ по оборудованию детских и спортивных площадок должно создать для детей мир воображения, развивать умственные и физические способности детей. </w:t>
      </w:r>
    </w:p>
    <w:p>
      <w:pPr>
        <w:pStyle w:val="Normal"/>
        <w:spacing w:before="0" w:after="15"/>
        <w:ind w:left="-15" w:firstLine="701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Так же установлено, что озеленение и оснащенность малыми архитектурными формами (скамейки, урны, газонные ограждения и т.п.) дворовых территорий выполнены в недостаточном количестве. Многие зеленые насаждения требуют ухода и прореживания от сорных, сухостойных и больных древесных и кустарниковых растений. Озеленение территории — неотъемлемая и важная задача благоустройства двора, участков микрорайона. Размещение деревьев и кустарников, открытых газонных участков и цветников должно быть взаимосвязано с расположением площадок, их размерами и конфигурацией, с различными сооружениями, а также, жилыми и общественными зданиями. При этом насаждения должны выполнять функции защиты от пыли, частично от шума, ветровых потоков, а также служить средством изоляции различных планировочных элементов территории. Проведение данных мероприятий положительно скажется на эмоциональном состоянии проживающих в многоквартирном доме и поможет улучшить санитарные и экологические условия вокруг дома. </w:t>
      </w:r>
    </w:p>
    <w:p>
      <w:pPr>
        <w:pStyle w:val="Normal"/>
        <w:spacing w:before="0" w:after="15"/>
        <w:ind w:left="-15" w:firstLine="701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В связи с увеличением личных автотранспортных средств, остро встал вопрос о нехватке парковочных мест. Проведение работ по строительству автостоянок на территориях, возможных к размещению на них и мест парковки автотранспортных средств, позволит в дальнейшем «разгрузить» дворовые территории и обеспечить комфортными условиями проживания жителей. </w:t>
      </w:r>
    </w:p>
    <w:p>
      <w:pPr>
        <w:pStyle w:val="Normal"/>
        <w:spacing w:before="0" w:after="15"/>
        <w:ind w:left="-15" w:firstLine="701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На отдельных территориях уровень освещенности дворовых территорий ниже допустимого, или освещение вообще отсутствует.</w:t>
      </w:r>
    </w:p>
    <w:p>
      <w:pPr>
        <w:pStyle w:val="Normal"/>
        <w:spacing w:before="0" w:after="15"/>
        <w:ind w:left="-15" w:firstLine="701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В создавшейся ситуации необходимо принять неотложные меры по качественному изменению состояния дворовых территорий многоквартирных домов городского поселения Змиевка.  </w:t>
      </w:r>
    </w:p>
    <w:p>
      <w:pPr>
        <w:pStyle w:val="Style18"/>
        <w:shd w:val="clear" w:fill="FFFFFF"/>
        <w:spacing w:lineRule="atLeast" w:line="200" w:before="0" w:after="0"/>
        <w:jc w:val="both"/>
        <w:rPr/>
      </w:pPr>
      <w:r>
        <w:rPr>
          <w:rFonts w:ascii="Times New Roman" w:hAnsi="Times New Roman"/>
        </w:rPr>
        <w:t xml:space="preserve">        </w:t>
      </w:r>
      <w:r>
        <w:rPr>
          <w:rFonts w:ascii="Times New Roman" w:hAnsi="Times New Roman"/>
        </w:rPr>
        <w:t>Благоустройство общественных территорий является важнейшей сферой деятельности муниципального хозяйства. В существующих парках наблюдается недостаточное количество малых архитектурных форм, неудовлетворительное состояние зеленых насаждений и покрытия дорожек. Именно в этой сфере должны создаваться  условия для населения, которые обеспечивают высокий уровень жизни. Обеспечение доступной среды и беспрепятственного доступа к зданиям и сооружениям, транспорту и информации — одно из фундаментальных прав человека.</w:t>
      </w:r>
      <w:r>
        <w:rPr>
          <w:rFonts w:ascii="Times New Roman" w:hAnsi="Times New Roman"/>
          <w:color w:val="333333"/>
        </w:rPr>
        <w:t xml:space="preserve"> </w:t>
      </w:r>
      <w:r>
        <w:rPr>
          <w:rFonts w:ascii="Times New Roman" w:hAnsi="Times New Roman"/>
        </w:rPr>
        <w:t>В связи с этим, должны создаваться условия для комфортной, удобной жизни как для отдельного человека по месту проживания, так и для всех жителей поселка. При выполнении комплекса мероприятий Программы возможно значительно улучшить экологическое состояние и внешний облик поселка, создать более комфортные  и эстетические условия в общественных местах.</w:t>
      </w:r>
    </w:p>
    <w:p>
      <w:pPr>
        <w:pStyle w:val="Style18"/>
        <w:shd w:val="clear" w:fill="FFFFFF"/>
        <w:spacing w:lineRule="atLeast" w:line="200" w:before="0" w:after="0"/>
        <w:jc w:val="both"/>
        <w:rPr/>
      </w:pPr>
      <w:r>
        <w:rPr>
          <w:rFonts w:ascii="Times New Roman" w:hAnsi="Times New Roman"/>
        </w:rPr>
        <w:t xml:space="preserve">       </w:t>
      </w:r>
      <w:r>
        <w:rPr>
          <w:rFonts w:ascii="Times New Roman" w:hAnsi="Times New Roman"/>
        </w:rPr>
        <w:t xml:space="preserve">Мероприятия Программы направлены на формирование современной городской среды, в том числе, с учетом создания условий для маломобильных групп населения, и на повышение общей культуры населения, способствуя снятию напряженности в процессе решения проблем городского хозяйства.  </w:t>
      </w:r>
    </w:p>
    <w:p>
      <w:pPr>
        <w:pStyle w:val="Normal"/>
        <w:ind w:left="-5" w:hanging="1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       </w:t>
      </w:r>
      <w:r>
        <w:rPr>
          <w:rFonts w:cs="Times New Roman" w:ascii="Times New Roman" w:hAnsi="Times New Roman"/>
          <w:sz w:val="28"/>
          <w:szCs w:val="28"/>
        </w:rPr>
        <w:t xml:space="preserve">В настоящей Программе будет учтено внедрение новых федеральных стандартов благоустройства общественных городских пространств и дворовых территорий, в то же время уделено внимание вопросу создания индивидуального облика отдельных территорий муниципального образования, избегая формирования однородной и стандартизированной городской среды.  </w:t>
      </w:r>
    </w:p>
    <w:p>
      <w:pPr>
        <w:pStyle w:val="Normal"/>
        <w:ind w:left="-5" w:hanging="1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8"/>
        <w:rPr/>
      </w:pPr>
      <w:r>
        <w:rPr>
          <w:rFonts w:ascii="Times New Roman" w:hAnsi="Times New Roman"/>
          <w:b/>
        </w:rPr>
        <w:t>Раздел 2. Приоритеты муниципальной политики в сфере реализации Программы, цели, задачи Программы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       </w:t>
      </w:r>
      <w:r>
        <w:rPr>
          <w:rFonts w:cs="Times New Roman" w:ascii="Times New Roman" w:hAnsi="Times New Roman"/>
          <w:sz w:val="28"/>
          <w:szCs w:val="28"/>
        </w:rPr>
        <w:t xml:space="preserve">Муниципальная программа "Формирование современной городской среды на территории городского поселения Змиевка Свердловского района Орловской области  в 2019-2024 годах»  является одним из важнейших направлений деятельности администрации  Свердловского района  в 2019-2024 годах, далее Программа. 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  <w:shd w:fill="FFFFFF" w:val="clear"/>
        </w:rPr>
        <w:t xml:space="preserve">     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>Приоритеты муниципальной политики в сфере реализации Программы определены утвержденным президиумом Совета при Президенте Российской Федерации по стратегическому развитию и приоритетным проектам, паспортом приоритетного проекта «Формирование комфортной городской среды» (протокол от 21 ноября 2016 года № 10).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  <w:shd w:fill="FFFFFF" w:val="clear"/>
        </w:rPr>
        <w:t xml:space="preserve">     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 xml:space="preserve">Целью Программы является повышение качества и комфорта городской среды на территории городского поселения Змиевка.  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   </w:t>
      </w:r>
      <w:r>
        <w:rPr>
          <w:rFonts w:cs="Times New Roman" w:ascii="Times New Roman" w:hAnsi="Times New Roman"/>
          <w:sz w:val="28"/>
          <w:szCs w:val="28"/>
        </w:rPr>
        <w:t>Достижение цели обеспечивается решением задач муниципальной программы: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          </w:t>
      </w:r>
      <w:r>
        <w:rPr>
          <w:rFonts w:cs="Times New Roman" w:ascii="Times New Roman" w:hAnsi="Times New Roman"/>
          <w:sz w:val="28"/>
          <w:szCs w:val="28"/>
        </w:rPr>
        <w:t xml:space="preserve">1.  Повышение уровня комплексного благоустройства дворовых территорий многоквартирных домов и общественных территорий городского поселения Змиевка.  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          </w:t>
      </w:r>
      <w:r>
        <w:rPr>
          <w:rFonts w:cs="Times New Roman" w:ascii="Times New Roman" w:hAnsi="Times New Roman"/>
          <w:sz w:val="28"/>
          <w:szCs w:val="28"/>
        </w:rPr>
        <w:t>2. Повышение уровня вовлеченности заинтересованных граждан, организаций в реализацию мероприятий по благоустройству и активизации участия граждан в решении вопросов местного значения.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</w:t>
      </w:r>
      <w:r>
        <w:rPr>
          <w:rFonts w:cs="Times New Roman" w:ascii="Times New Roman" w:hAnsi="Times New Roman"/>
          <w:sz w:val="28"/>
          <w:szCs w:val="28"/>
        </w:rPr>
        <w:t xml:space="preserve">Задачи Программы решаются посредством реализации основных мероприятий. Необходимым условием проведения основных мероприятий по благоустройству дворовых территорий, общественных территорий является необходимость обеспечения физической, пространственной и информационной доступности зданий, сооружений, дворовых и общественных территорий для инвалидов и других маломобильных групп населения. При необходимости создания комфортных условий обеспечения доступности для маломобильных групп населения работы будут проведены в соответствии со статьей 15 Федерального закона № 181-ФЗ от 24 ноября 1995 года «О социальной защите инвалидов в Российской Федерации и в соответствии со сводом правил № СП 59.13330.2012 «Доступность зданий и сооружений для маломобильных групп населения».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2.1 </w:t>
      </w:r>
      <w:r>
        <w:rPr>
          <w:rFonts w:cs="Times New Roman" w:ascii="Times New Roman" w:hAnsi="Times New Roman"/>
          <w:b/>
          <w:sz w:val="28"/>
          <w:szCs w:val="28"/>
        </w:rPr>
        <w:t xml:space="preserve"> Особенности формирования  муниципальной Программы</w:t>
      </w:r>
    </w:p>
    <w:p>
      <w:pPr>
        <w:pStyle w:val="Normal"/>
        <w:jc w:val="center"/>
        <w:rPr/>
      </w:pPr>
      <w:r>
        <w:rPr>
          <w:b/>
          <w:sz w:val="28"/>
          <w:szCs w:val="28"/>
        </w:rPr>
        <w:t xml:space="preserve"> </w:t>
      </w:r>
    </w:p>
    <w:p>
      <w:pPr>
        <w:pStyle w:val="ConsPlusTitle"/>
        <w:jc w:val="both"/>
        <w:rPr/>
      </w:pPr>
      <w:r>
        <w:rPr>
          <w:sz w:val="28"/>
          <w:szCs w:val="28"/>
        </w:rPr>
        <w:t xml:space="preserve">      </w:t>
      </w:r>
      <w:r>
        <w:rPr>
          <w:b w:val="false"/>
          <w:sz w:val="28"/>
          <w:szCs w:val="28"/>
        </w:rPr>
        <w:t>2.1.1 Муниципальная Программа сформирована в соответствии с правилами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городской среды, утвержденными  постановлением Правительства Российской Федерации от 30 декабря 2017 года № 1710 «Об утверждении государственной программы Российской Федерации «Обеспечение доступным и комфортным жильем и коммунальными услугами граждан Российской Федерации».</w:t>
      </w:r>
    </w:p>
    <w:p>
      <w:pPr>
        <w:pStyle w:val="ConsPlusTitle"/>
        <w:jc w:val="both"/>
        <w:rPr>
          <w:sz w:val="28"/>
          <w:szCs w:val="28"/>
        </w:rPr>
      </w:pPr>
      <w:r>
        <w:rPr>
          <w:b w:val="false"/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</w:t>
      </w:r>
      <w:r>
        <w:rPr>
          <w:b w:val="false"/>
          <w:sz w:val="28"/>
          <w:szCs w:val="28"/>
        </w:rPr>
        <w:t>За счет средств федерального, областного и местного  бюджетов,  а также за счет Дорожного фонда Орловской области  предусматривается финансирование следующих мероприятий: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мероприятия по благоустройству дворовых территорий городского поселения;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мероприятия по благоустройству общественных территорий городского поселения.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</w:t>
      </w:r>
      <w:r>
        <w:rPr>
          <w:rFonts w:cs="Times New Roman" w:ascii="Times New Roman" w:hAnsi="Times New Roman"/>
          <w:sz w:val="28"/>
          <w:szCs w:val="28"/>
        </w:rPr>
        <w:t>2.1.2 Муниципальная Программа предусматривает:</w:t>
      </w:r>
    </w:p>
    <w:p>
      <w:pPr>
        <w:pStyle w:val="Normal"/>
        <w:ind w:firstLine="426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 xml:space="preserve">Адресный перечень дворовых территорий, нуждающихся в благоустройстве (с учетом их физического состояния) и подлежащих благоустройству в указанный период исходя из минимального перечня работ по благоустройству. </w:t>
      </w:r>
    </w:p>
    <w:p>
      <w:pPr>
        <w:pStyle w:val="Normal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 CYR" w:cs="Times New Roman" w:ascii="Times New Roman" w:hAnsi="Times New Roman"/>
          <w:sz w:val="28"/>
          <w:szCs w:val="28"/>
        </w:rPr>
        <w:t xml:space="preserve">    </w:t>
      </w:r>
      <w:r>
        <w:rPr>
          <w:rFonts w:cs="Times New Roman" w:ascii="Times New Roman" w:hAnsi="Times New Roman"/>
          <w:sz w:val="28"/>
          <w:szCs w:val="28"/>
        </w:rPr>
        <w:t>Физическое состояние дворовой территории и необходимость ее благоустройства определяются по результатам инвентаризации дворовой территории.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</w:t>
      </w:r>
      <w:r>
        <w:rPr>
          <w:rFonts w:cs="Times New Roman" w:ascii="Times New Roman" w:hAnsi="Times New Roman"/>
          <w:sz w:val="28"/>
          <w:szCs w:val="28"/>
        </w:rPr>
        <w:t>К дворовым территориям, нуждающимся в благоустройстве, относятся дворовые территории многоквартирных домов, физическое состояние и уровень благоустройства которых не соответствует Правилам благоустройства города городского поселения Змиевка Свердловского района Орловской области, а также на которых отсутствует или находится в ненадлежащем физическом  состоянии хотя бы один из элементов минимального или дополнительного перечня видов работ по благоустройству, установленного в настоящем разделе  муниципальной Программы.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</w:t>
      </w:r>
      <w:r>
        <w:rPr>
          <w:rFonts w:cs="Times New Roman" w:ascii="Times New Roman" w:hAnsi="Times New Roman"/>
          <w:sz w:val="28"/>
          <w:szCs w:val="28"/>
        </w:rPr>
        <w:t>В минимальный перечень видов работ по благоустройству дворовых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территорий многоквартирных домов входит: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ремонт дворовых проездов;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обеспечение освещения дворовых территорий;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- установка малых архитектурных форм (скамеек, урн для мусора).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</w:t>
      </w:r>
      <w:r>
        <w:rPr>
          <w:rFonts w:cs="Times New Roman" w:ascii="Times New Roman" w:hAnsi="Times New Roman"/>
          <w:sz w:val="28"/>
          <w:szCs w:val="28"/>
        </w:rPr>
        <w:t xml:space="preserve">Благоустройство дворовой территорий в рамках минимального перечня возможно при наличии решения собственников жилых помещений многоквартирного дома о принятии созданного в результате благоустройства имущества в состав общего имущества многоквартирного дома.    </w:t>
      </w:r>
    </w:p>
    <w:p>
      <w:pPr>
        <w:pStyle w:val="Normal"/>
        <w:tabs>
          <w:tab w:val="left" w:pos="0" w:leader="none"/>
        </w:tabs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         </w:t>
      </w:r>
      <w:r>
        <w:rPr>
          <w:rFonts w:cs="Times New Roman" w:ascii="Times New Roman" w:hAnsi="Times New Roman"/>
          <w:sz w:val="28"/>
          <w:szCs w:val="28"/>
        </w:rPr>
        <w:t>Нормативная стоимость (единичные расценки) работ по благоустройству дворовых территорий, входящих в минимальный перечень, приведены в Приложении 3 к муниципальной Программе.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</w:t>
      </w:r>
      <w:r>
        <w:rPr>
          <w:rFonts w:cs="Times New Roman" w:ascii="Times New Roman" w:hAnsi="Times New Roman"/>
          <w:sz w:val="28"/>
          <w:szCs w:val="28"/>
        </w:rPr>
        <w:t>В перечень дополнительных видов работ по благоустройству дворовых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территорий многоквартирных домов входит: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оборудование детских и (или) спортивных площадок;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оборудование автомобильных парковок;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выполнение работ по озеленению.</w:t>
      </w:r>
    </w:p>
    <w:p>
      <w:pPr>
        <w:pStyle w:val="Normal"/>
        <w:tabs>
          <w:tab w:val="left" w:pos="0" w:leader="none"/>
        </w:tabs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         </w:t>
      </w:r>
      <w:r>
        <w:rPr>
          <w:rFonts w:cs="Times New Roman" w:ascii="Times New Roman" w:hAnsi="Times New Roman"/>
          <w:sz w:val="28"/>
          <w:szCs w:val="28"/>
        </w:rPr>
        <w:t>Нормативная стоимость (единичные расценки) работ по благоустройству дворовых территорий, входящих в дополнительный перечень, приведены в Приложении 4 к муниципальной Программе.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</w:t>
      </w:r>
      <w:r>
        <w:rPr>
          <w:rFonts w:cs="Times New Roman" w:ascii="Times New Roman" w:hAnsi="Times New Roman"/>
          <w:sz w:val="28"/>
          <w:szCs w:val="28"/>
        </w:rPr>
        <w:t xml:space="preserve">Перечень дворовых  территорий формируется из числа  поступивших от заинтересованных лиц заявок на участие в отборе дворовых территорий, порядок отбора и включения дворовой территории в программу утверждается постановлением администрации Свердловского района.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</w:t>
      </w:r>
      <w:r>
        <w:rPr>
          <w:rFonts w:cs="Times New Roman" w:ascii="Times New Roman" w:hAnsi="Times New Roman"/>
          <w:sz w:val="28"/>
          <w:szCs w:val="28"/>
        </w:rPr>
        <w:t xml:space="preserve">Осуществление  контроля и координации реализации  муниципальной программы производился общественной  комиссией, утвержденной постановлением администрации Свердловского района.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</w:t>
      </w:r>
      <w:r>
        <w:rPr>
          <w:rFonts w:cs="Times New Roman" w:ascii="Times New Roman" w:hAnsi="Times New Roman"/>
          <w:sz w:val="28"/>
          <w:szCs w:val="28"/>
        </w:rPr>
        <w:t>Адресный   перечень дворовых территорий приведен в приложении 8 к                   настоящей муниципальной Программе.</w:t>
      </w:r>
    </w:p>
    <w:p>
      <w:pPr>
        <w:pStyle w:val="Normal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</w:t>
      </w:r>
      <w:r>
        <w:rPr>
          <w:rFonts w:cs="Times New Roman" w:ascii="Times New Roman" w:hAnsi="Times New Roman"/>
          <w:sz w:val="28"/>
          <w:szCs w:val="28"/>
        </w:rPr>
        <w:t xml:space="preserve">2.1.3. Адресный перечень всех общественных территорий, нуждающихся в благоустройстве (с учетом их физического состояния общественной территории) и подлежащих благоустройству в указанный период.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highlight w:val="white"/>
        </w:rPr>
        <w:t xml:space="preserve">         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К общественным территориям, нуждающимся в благоустройстве, относятся общественные территории, физическое состояние и уровень благоустройства которых не соответствует Правилам благоустройства городского поселения Змиевка Свердловского района Орловской области.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</w:t>
      </w:r>
      <w:r>
        <w:rPr>
          <w:rFonts w:cs="Times New Roman" w:ascii="Times New Roman" w:hAnsi="Times New Roman"/>
          <w:sz w:val="28"/>
          <w:szCs w:val="28"/>
        </w:rPr>
        <w:t xml:space="preserve">Физическое состояние общественных территорий и отдельных элементов благоустройства определялись по результатам проведения инвентаризации.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</w:t>
      </w:r>
      <w:r>
        <w:rPr>
          <w:rFonts w:cs="Times New Roman" w:ascii="Times New Roman" w:hAnsi="Times New Roman"/>
          <w:sz w:val="28"/>
          <w:szCs w:val="28"/>
        </w:rPr>
        <w:t>Порядок включения общественной территории в муниципальную программу утверждается постановлением администрации  Свердловского района Орловской области.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</w:t>
      </w:r>
      <w:r>
        <w:rPr>
          <w:rFonts w:cs="Times New Roman" w:ascii="Times New Roman" w:hAnsi="Times New Roman"/>
          <w:sz w:val="28"/>
          <w:szCs w:val="28"/>
        </w:rPr>
        <w:t xml:space="preserve">Адресный перечень общественных территорий </w:t>
      </w:r>
      <w:r>
        <w:rPr>
          <w:rFonts w:cs="Times New Roman" w:ascii="Times New Roman" w:hAnsi="Times New Roman"/>
          <w:spacing w:val="-11"/>
          <w:sz w:val="28"/>
          <w:szCs w:val="28"/>
        </w:rPr>
        <w:t xml:space="preserve">приведен в приложении 9 </w:t>
      </w:r>
      <w:r>
        <w:rPr>
          <w:rFonts w:cs="Times New Roman" w:ascii="Times New Roman" w:hAnsi="Times New Roman"/>
          <w:sz w:val="28"/>
          <w:szCs w:val="28"/>
        </w:rPr>
        <w:t>к  муниципальной Программе.</w:t>
      </w:r>
    </w:p>
    <w:p>
      <w:pPr>
        <w:pStyle w:val="Normal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</w:t>
      </w:r>
      <w:r>
        <w:rPr>
          <w:rFonts w:cs="Times New Roman" w:ascii="Times New Roman" w:hAnsi="Times New Roman"/>
          <w:sz w:val="28"/>
          <w:szCs w:val="28"/>
        </w:rPr>
        <w:t>2.1.4. Адресный перечень объектов недвижимого имущества (включая объекты незавершенного строительства) и земельных участков, находящихся в собственности (пользовании) юридических лиц и индивидуальных предпринимателей, которые подлежат благоустройству не позднее последнего года реализации федерального проекта за счет средств указанных лиц в соответствии с Правилами благоустройства городского поселения Змиевка Свердловского района Орловской области.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pacing w:val="-11"/>
          <w:sz w:val="28"/>
          <w:szCs w:val="28"/>
        </w:rPr>
        <w:t xml:space="preserve">            </w:t>
      </w:r>
      <w:r>
        <w:rPr>
          <w:rFonts w:cs="Times New Roman" w:ascii="Times New Roman" w:hAnsi="Times New Roman"/>
          <w:spacing w:val="-11"/>
          <w:sz w:val="28"/>
          <w:szCs w:val="28"/>
        </w:rPr>
        <w:t xml:space="preserve">Адресный перечень  приведен в приложении 10  </w:t>
      </w:r>
      <w:r>
        <w:rPr>
          <w:rFonts w:cs="Times New Roman" w:ascii="Times New Roman" w:hAnsi="Times New Roman"/>
          <w:sz w:val="28"/>
          <w:szCs w:val="28"/>
        </w:rPr>
        <w:t>к  муниципальной Программе.</w:t>
      </w:r>
    </w:p>
    <w:p>
      <w:pPr>
        <w:pStyle w:val="Normal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</w:t>
      </w:r>
      <w:r>
        <w:rPr>
          <w:rFonts w:cs="Times New Roman" w:ascii="Times New Roman" w:hAnsi="Times New Roman"/>
          <w:sz w:val="28"/>
          <w:szCs w:val="28"/>
        </w:rPr>
        <w:t>2.1.5. Мероприятия по инвентаризации уровня благоустройства индивидуальных жилых домов и земельных участков, предоставленных для их размещения, с заключением по результатам инвентаризации соглашений с собственниками (пользователями) указанных домов (собственниками (пользователями) земельных участков) об их благоустройстве не позднее последнего года реализации федерального проекта в соответствии с  Правилами благоустройства городского поселения Змиевка Свердловского района Орловской области.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</w:t>
      </w:r>
      <w:r>
        <w:rPr>
          <w:rFonts w:cs="Times New Roman" w:ascii="Times New Roman" w:hAnsi="Times New Roman"/>
          <w:sz w:val="28"/>
          <w:szCs w:val="28"/>
        </w:rPr>
        <w:t xml:space="preserve">Инвентаризация  проводится путем натурального обследования территорий и расположенных на ней  элементов благоустройства. </w:t>
      </w:r>
    </w:p>
    <w:p>
      <w:pPr>
        <w:pStyle w:val="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</w:t>
      </w:r>
      <w:r>
        <w:rPr>
          <w:rFonts w:cs="Times New Roman" w:ascii="Times New Roman" w:hAnsi="Times New Roman"/>
          <w:sz w:val="28"/>
          <w:szCs w:val="28"/>
        </w:rPr>
        <w:t xml:space="preserve">Итоговым документом, содержащим инвентаризационные данные о территории и расположенных на ней элементах, является паспорт благоустройства территории, который позволяет оптимизировать как процесс ухода и содержания территории, так и ее дальнейшего развития (осуществить проектирование и строительство детских площадок, размещение мест отдыха, выделение дополнительных мест для парковки и озеленения территории). </w:t>
      </w:r>
    </w:p>
    <w:p>
      <w:pPr>
        <w:pStyle w:val="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Заключение соглашений с собственниками (пользователями) указанных домов (собственниками (пользователями) земельных участков) об их благоустройстве осуществляется администрацией Свердловского района не позднее 10 февраля 2024 года.</w:t>
      </w:r>
    </w:p>
    <w:p>
      <w:pPr>
        <w:pStyle w:val="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</w:t>
      </w:r>
      <w:r>
        <w:rPr>
          <w:rFonts w:cs="Times New Roman" w:ascii="Times New Roman" w:hAnsi="Times New Roman"/>
          <w:sz w:val="28"/>
          <w:szCs w:val="28"/>
        </w:rPr>
        <w:t>2.1.6  Иные мероприятия по благоустройству территорий.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 иным мероприятиям относятся разработка сметной документации и прохождение проверки достоверности определения сметной стоимости объекта.</w:t>
      </w:r>
    </w:p>
    <w:p>
      <w:pPr>
        <w:pStyle w:val="Normal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</w:t>
      </w:r>
      <w:r>
        <w:rPr>
          <w:rFonts w:cs="Times New Roman" w:ascii="Times New Roman" w:hAnsi="Times New Roman"/>
          <w:sz w:val="28"/>
          <w:szCs w:val="28"/>
        </w:rPr>
        <w:t xml:space="preserve">2.1.7.  Трудовую форму участия заинтересованных лиц в рамках минимального перечня работ по  благоустройству дворовых территорий. </w:t>
      </w:r>
    </w:p>
    <w:p>
      <w:pPr>
        <w:pStyle w:val="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 CYR" w:cs="Times New Roman" w:ascii="Times New Roman" w:hAnsi="Times New Roman"/>
          <w:sz w:val="28"/>
          <w:szCs w:val="28"/>
        </w:rPr>
        <w:t xml:space="preserve"> </w:t>
      </w:r>
      <w:bookmarkStart w:id="2" w:name="sub_73"/>
      <w:bookmarkEnd w:id="2"/>
      <w:r>
        <w:rPr>
          <w:rFonts w:cs="Times New Roman" w:ascii="Times New Roman" w:hAnsi="Times New Roman"/>
          <w:sz w:val="28"/>
          <w:szCs w:val="28"/>
        </w:rPr>
        <w:t>Решения о трудовом участии принимаются на общем собрании собственников жилых помещений многоквартирного дома и отражаются  в протоколе общего собрания собственников жилых помещений многоквартирного дома.</w:t>
      </w:r>
    </w:p>
    <w:p>
      <w:pPr>
        <w:pStyle w:val="Normal"/>
        <w:ind w:firstLine="720"/>
        <w:jc w:val="both"/>
        <w:rPr/>
      </w:pPr>
      <w:r>
        <w:rPr>
          <w:rFonts w:cs="Times New Roman CYR" w:ascii="Times New Roman CYR" w:hAnsi="Times New Roman CYR"/>
          <w:sz w:val="28"/>
          <w:szCs w:val="28"/>
        </w:rPr>
        <w:t>Форма трудового участия заинтересованных лиц при  выполнении минимального или дополнительного перечней работ  является обязательной и выражается  в виде: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- выполнение жителями неоплачиваемых работ, не требующих специальной квалификации: 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 подготовка объектов (дворовой территории) к началу работ;</w:t>
      </w:r>
    </w:p>
    <w:p>
      <w:pPr>
        <w:pStyle w:val="Normal"/>
        <w:widowControl/>
        <w:ind w:left="3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 земляные работы;</w:t>
      </w:r>
    </w:p>
    <w:p>
      <w:pPr>
        <w:pStyle w:val="Normal"/>
        <w:ind w:firstLine="15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 снятие старого оборудования;</w:t>
      </w:r>
    </w:p>
    <w:p>
      <w:pPr>
        <w:pStyle w:val="Normal"/>
        <w:ind w:firstLine="15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 уборка мусора;</w:t>
      </w:r>
    </w:p>
    <w:p>
      <w:pPr>
        <w:pStyle w:val="Normal"/>
        <w:ind w:firstLine="15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 покраска оборудования;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 озеленение территории;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 посадка деревьев;</w:t>
      </w:r>
    </w:p>
    <w:p>
      <w:pPr>
        <w:pStyle w:val="Normal"/>
        <w:ind w:firstLine="15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 охрана объекта;</w:t>
      </w:r>
    </w:p>
    <w:p>
      <w:pPr>
        <w:pStyle w:val="Normal"/>
        <w:ind w:firstLine="15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 предоставление строительных материалов, техники;</w:t>
      </w:r>
    </w:p>
    <w:p>
      <w:pPr>
        <w:pStyle w:val="Normal"/>
        <w:ind w:firstLine="15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  обеспечение благоприятных условий для работы подрядной организации, выполняющей работы и для ее сотрудников.</w:t>
      </w:r>
    </w:p>
    <w:p>
      <w:pPr>
        <w:pStyle w:val="Normal"/>
        <w:ind w:firstLine="15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         </w:t>
      </w:r>
      <w:r>
        <w:rPr>
          <w:rFonts w:cs="Times New Roman" w:ascii="Times New Roman" w:hAnsi="Times New Roman"/>
          <w:sz w:val="28"/>
          <w:szCs w:val="28"/>
        </w:rPr>
        <w:t>Трудовое участие заинтересованных лиц в выполнении мероприятий по благоустройству дворовых территорий должно подтверждаться</w:t>
      </w:r>
      <w:r>
        <w:rPr>
          <w:rFonts w:ascii="Times New Roman" w:hAnsi="Times New Roman"/>
          <w:sz w:val="28"/>
          <w:szCs w:val="28"/>
        </w:rPr>
        <w:t xml:space="preserve"> фото- или , видеоматериалами, подтверждающими проведение мероприятия с трудовым участием граждан.</w:t>
      </w:r>
    </w:p>
    <w:p>
      <w:pPr>
        <w:pStyle w:val="NormalWeb"/>
        <w:shd w:val="clear" w:color="auto" w:fill="FFFFFF"/>
        <w:spacing w:before="0" w:after="0"/>
        <w:ind w:left="15" w:hanging="0"/>
        <w:jc w:val="both"/>
        <w:rPr/>
      </w:pPr>
      <w:r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ascii="Times New Roman" w:hAnsi="Times New Roman"/>
          <w:sz w:val="28"/>
          <w:szCs w:val="28"/>
        </w:rPr>
        <w:t>Документы, подтверждающие трудовое участие, представляются в отдел архитектуры, строительства и ЖКХ администрации Свердловского района   не позднее 10 календарных дней со дня окончания работ, выполняемых заинтересованными лицами.</w:t>
      </w:r>
    </w:p>
    <w:p>
      <w:pPr>
        <w:pStyle w:val="Normal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 CYR" w:cs="Times New Roman" w:ascii="Times New Roman" w:hAnsi="Times New Roman"/>
          <w:sz w:val="28"/>
          <w:szCs w:val="28"/>
        </w:rPr>
        <w:t xml:space="preserve">    </w:t>
      </w:r>
      <w:r>
        <w:rPr>
          <w:rFonts w:cs="Times New Roman" w:ascii="Times New Roman" w:hAnsi="Times New Roman"/>
          <w:sz w:val="28"/>
          <w:szCs w:val="28"/>
        </w:rPr>
        <w:t>2.1.8.  Трудовую и финансовую формы участия заинтересованных лиц в рамках дополнительного перечня работ по  благоустройству дворовых территорий.</w:t>
      </w:r>
    </w:p>
    <w:p>
      <w:pPr>
        <w:pStyle w:val="Normal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 CYR" w:cs="Times New Roman" w:ascii="Times New Roman" w:hAnsi="Times New Roman"/>
          <w:sz w:val="28"/>
          <w:szCs w:val="28"/>
        </w:rPr>
        <w:t xml:space="preserve">      </w:t>
      </w:r>
      <w:r>
        <w:rPr>
          <w:rFonts w:cs="Times New Roman" w:ascii="Times New Roman" w:hAnsi="Times New Roman"/>
          <w:sz w:val="28"/>
          <w:szCs w:val="28"/>
        </w:rPr>
        <w:t>Решение о трудовом и финансовом участии принимаются на общем собрании собственников жилых помещений многоквартирного дома и отражаются  в протоколе общего собрания собственников жилых помещений.</w:t>
      </w:r>
    </w:p>
    <w:p>
      <w:pPr>
        <w:pStyle w:val="Normal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 CYR" w:cs="Times New Roman" w:ascii="Times New Roman" w:hAnsi="Times New Roman"/>
          <w:sz w:val="28"/>
          <w:szCs w:val="28"/>
        </w:rPr>
        <w:t xml:space="preserve">      </w:t>
      </w:r>
      <w:r>
        <w:rPr>
          <w:rFonts w:cs="Times New Roman" w:ascii="Times New Roman" w:hAnsi="Times New Roman"/>
          <w:sz w:val="28"/>
          <w:szCs w:val="28"/>
        </w:rPr>
        <w:t>Если заинтересованными лицами на общем собрании собственников жилых помещений многоквартирного дома принимается решение о  включении в перечень работ по благоустройству дворовых территорий  дополнительного перечня работ, то  работы по благоустройству дворовых территорий софинансируются из областного бюджета:</w:t>
      </w:r>
    </w:p>
    <w:p>
      <w:pPr>
        <w:pStyle w:val="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при наличии решения собственников помещений в многоквартирном           доме, дворовая территория которого благоустраивается, о принятии созданного в результате благоустройства имущества в состав общего имущества многоквартирного дома;</w:t>
      </w:r>
    </w:p>
    <w:p>
      <w:pPr>
        <w:pStyle w:val="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при софинансировании собственниками помещений не менее 5 и не более 50 процентов от стоимости мероприятий по благоустройству дворовой территории, в случае если заинтересованными лицами не определен иной размер              доли;</w:t>
      </w:r>
    </w:p>
    <w:p>
      <w:pPr>
        <w:pStyle w:val="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при софинансировании собственниками помещений многоквартирного дома работ по благоустройству дворовых территорий в размере не менее </w:t>
        <w:br/>
        <w:t>20 процентов стоимости выполнения таких работ. Такое условие распространяется на дворовые территории, включенные в соответствующую программу  после вступления в силу постановления Правительства Российской Федерации от 9 февраля 2019 г. № 106  «О внесении изменений в приложение № 15 к  государственной программе Российской Федерации «Обеспечение доступным и комфортным жильем и коммунальными услугами граждан Российской Федерации».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 xml:space="preserve">        </w:t>
      </w:r>
      <w:r>
        <w:rPr>
          <w:rFonts w:cs="Times New Roman" w:ascii="Times New Roman" w:hAnsi="Times New Roman"/>
          <w:bCs/>
          <w:sz w:val="28"/>
          <w:szCs w:val="28"/>
        </w:rPr>
        <w:t xml:space="preserve">Порядок аккумулирования и расходования средств заинтересованных лиц, направляемых на выполнение дополнительного перечня работ по благоустройству дворовых территорий, включенных в муниципальную Программу приведен в приложении 7 </w:t>
      </w:r>
      <w:r>
        <w:rPr>
          <w:rFonts w:cs="Times New Roman" w:ascii="Times New Roman" w:hAnsi="Times New Roman"/>
          <w:sz w:val="28"/>
          <w:szCs w:val="28"/>
        </w:rPr>
        <w:t>к  муниципальной Программе.</w:t>
      </w:r>
    </w:p>
    <w:p>
      <w:pPr>
        <w:pStyle w:val="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 CYR" w:cs="Times New Roman" w:ascii="Times New Roman" w:hAnsi="Times New Roman"/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2.1.9.  Администрация Свердловского района вправе исключить из адресного перечня дворовых и общественных территорий, подлежащих благоустройству в рамках реализации муниципальной программы, территории, расположенные вблизи многоквартирных домов, физический износ основных конструктивных элементов (крыша, стены, фундамент) которых превышает 70 процентов, а также территории, которые планируются к изъятию для муниципальных или государственных нужд в соответствии с генеральным планом городского поселения Змиевка Свердловского района Орловской области при условии одобрения решения об исключении указанных территорий из адресного перечня дворовых территорий и общественных территорий Межведомственной комиссией по обеспечению реализации приоритетного проекта «Формирование комфортной городской среды» в Орловской области, созданной в соответствии с Указом Губернатора Орловской области от 28 февраля 2017 года № 94 (далее - Межведомственная комиссия), установленном данной комиссией.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 CYR" w:cs="Times New Roman" w:ascii="Times New Roman" w:hAnsi="Times New Roman"/>
          <w:sz w:val="28"/>
          <w:szCs w:val="28"/>
        </w:rPr>
        <w:t xml:space="preserve">           </w:t>
      </w:r>
      <w:r>
        <w:rPr>
          <w:rFonts w:cs="Times New Roman" w:ascii="Times New Roman" w:hAnsi="Times New Roman"/>
          <w:sz w:val="28"/>
          <w:szCs w:val="28"/>
        </w:rPr>
        <w:t>Исключить дворовые и общественные территорий из адресного перечня дворовых и общественных территорий, подлежащих благоустройству в рамках реализации муниципальной Программы возможно только после предоставления заинтересованными лицами заключения специализированной организации о состоянии жилого дома.</w:t>
      </w:r>
    </w:p>
    <w:p>
      <w:pPr>
        <w:pStyle w:val="Normal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2.1.10 Администрация Свердловского района   вправе исключить из адресного перечня дворовых территорий, подлежащих благоустройству в рамках реализации муниципальной программы, дворовые территории, собственники помещений многоквартирных домов которых приняли решение об отказе от благоустройства дворовой территории в рамках реализации соответствующей Программы или не приняли решения о благоустройстве дворовой территории в сроки, установленные соответствующей Программой. При этом исключение дворовой территории из перечня дворовых территорий, подлежащих благоустройству в рамках реализации муниципальной Программы, возможно только при условии одобрения соответствующего решения администрации Свердловского района Орловской области в порядке, установленном Межведомственной комиссией. </w:t>
      </w:r>
    </w:p>
    <w:p>
      <w:pPr>
        <w:pStyle w:val="Normal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2.1.11. Администрацией Свердловского района  в лице отдела по управлению муниципальным имуществом и вопросам сельского хозяйства администрации обеспечивается проведение работ по образованию земельных участков не позднее 30 декабря года в котором предоставляется субсидия, на которых расположены многоквартирные дома и  которые не сформированы в соответствии с действующим законодательством.</w:t>
      </w:r>
    </w:p>
    <w:p>
      <w:pPr>
        <w:pStyle w:val="Normal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2.1.12.  Заключение муниципальных контрактов по результатам закупки товаров, работ и услуг (обеспечение контрактования на работы по объектам)  должно быть обеспечено не позднее 1 июля года предоставления субсидии - для выполнения работ по благоустройству общественных территорий, не позднее 1 мая года предоставления субсидии - для заключения соглашений на выполнение работ по благоустройству дворовых территорий, за исключением случаев обжалования действий (бездействия) заказчика и (или) комиссии по осуществлению закупок и (или) оператора электронной площадки при осуществлении закупки товаров, работ, услуг в порядке, установленном законодательством Российской Федерации, при которых срок заключения таких соглашений продлевается на срок указанного обжалования.</w:t>
      </w:r>
    </w:p>
    <w:p>
      <w:pPr>
        <w:pStyle w:val="Normal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2.1.13.  Гарантийный срок на результаты выполнения работ должен составлять не менее  3 (трех) лет при заключении муниципальных контрактов  с подрядными организациями.</w:t>
      </w:r>
    </w:p>
    <w:p>
      <w:pPr>
        <w:pStyle w:val="Normal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2.1.14.  Настоящая муниципальная Программа синхронизируется со следующими мероприятиями, реализуемыми на территории городского поселения Змиевка Свердловского района Орловской области: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</w:t>
      </w:r>
      <w:r>
        <w:rPr>
          <w:rFonts w:cs="Times New Roman" w:ascii="Times New Roman" w:hAnsi="Times New Roman"/>
          <w:sz w:val="28"/>
          <w:szCs w:val="28"/>
        </w:rPr>
        <w:t>- в сфере обеспечения доступности городской среды для маломобильных групп населения осуществляются мероприятия  направленные на  создание условий для беспрепятственного доступа инвалидов и других маломобильных групп населения к общественным территориям и дворовым территориям многоквартирных домов города.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</w:t>
      </w:r>
      <w:r>
        <w:rPr>
          <w:rFonts w:cs="Times New Roman" w:ascii="Times New Roman" w:hAnsi="Times New Roman"/>
          <w:sz w:val="28"/>
          <w:szCs w:val="28"/>
        </w:rPr>
        <w:t>К таким мероприятиям относятся: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- оборудование доступных для инвалидов мест отдыха в скверах, парках, площадях;  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установка скамеек со спинками и подлокотниками;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оборудование тротуаров  бордюрными пандусами для въезда;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- устройство пандусов на придомовых и общественных территориях;  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- парковочные места на придомовых территориях;  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устройство входной группы для беспрепятственного прохода на дворовую и общественную территорию.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     </w:t>
      </w:r>
      <w:r>
        <w:rPr>
          <w:rFonts w:cs="Times New Roman" w:ascii="Times New Roman" w:hAnsi="Times New Roman"/>
          <w:sz w:val="28"/>
          <w:szCs w:val="28"/>
        </w:rPr>
        <w:t>А также осуществляется синхронизация данной Программы с действующими на территории муниципального образования иными муниципальными программами: по ремонту улично-дорожной сети Свердловского района Орловской области, капитальному ремонту крыш многоквартирных домов на территории Свердловского района  Орловской области и  иными мероприятиями, проводимыми в рамках благоустройства территории городского поселения Змиевка Свердловского района Орловской области.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       </w:t>
      </w:r>
      <w:r>
        <w:rPr>
          <w:rFonts w:cs="Times New Roman" w:ascii="Times New Roman" w:hAnsi="Times New Roman"/>
          <w:sz w:val="28"/>
          <w:szCs w:val="28"/>
        </w:rPr>
        <w:t>2.1.15. В ходе реализации и  по результатам реализации муниципальной Программы ежегодно предусмотрена актуализация муниципальной программы.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    </w:t>
      </w:r>
      <w:r>
        <w:rPr>
          <w:rFonts w:cs="Times New Roman" w:ascii="Times New Roman" w:hAnsi="Times New Roman"/>
          <w:sz w:val="28"/>
          <w:szCs w:val="28"/>
        </w:rPr>
        <w:t xml:space="preserve">2.1.16. Одним из важных критериев  реализации   муниципальной Программы является  вовлечение граждан и общественных организаций в процесс реализации  муниципальной  Программы.  При реализации муниципальной Программы администрацией Свердловского района будут созданы условия для вовлечения в процесс благоустройства общественных и дворовых территорий студенческих отрядов, волонтеров. 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   </w:t>
      </w:r>
      <w:r>
        <w:rPr>
          <w:rFonts w:cs="Times New Roman" w:ascii="Times New Roman" w:hAnsi="Times New Roman"/>
          <w:sz w:val="28"/>
          <w:szCs w:val="28"/>
        </w:rPr>
        <w:t>2.1.17. Муниципальной Программой предусмотрено проведение  общественного обсуждения  проекта муниципальной Программы,  в течение  30 дней со дня опубликования  проекта муниципальной Программы, в том числе при внесении изменений в муниципальную Программу.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 CYR" w:cs="Times New Roman" w:ascii="Times New Roman" w:hAnsi="Times New Roman"/>
          <w:sz w:val="28"/>
          <w:szCs w:val="28"/>
        </w:rPr>
        <w:t xml:space="preserve">          </w:t>
      </w:r>
      <w:r>
        <w:rPr>
          <w:rFonts w:cs="Times New Roman" w:ascii="Times New Roman" w:hAnsi="Times New Roman"/>
          <w:sz w:val="28"/>
          <w:szCs w:val="28"/>
        </w:rPr>
        <w:t>Общественное обсуждение проходит в форме собраний, совещаний, круглых столов.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          </w:t>
      </w:r>
      <w:r>
        <w:rPr>
          <w:rFonts w:cs="Times New Roman" w:ascii="Times New Roman" w:hAnsi="Times New Roman"/>
          <w:sz w:val="28"/>
          <w:szCs w:val="28"/>
        </w:rPr>
        <w:t>2.1.18. Информирование граждан осуществляется через официальный сайт администрации Свердловского района в сети «Интернет».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</w:t>
      </w:r>
      <w:r>
        <w:rPr>
          <w:rFonts w:cs="Times New Roman" w:ascii="Times New Roman" w:hAnsi="Times New Roman"/>
          <w:sz w:val="28"/>
          <w:szCs w:val="28"/>
        </w:rPr>
        <w:t xml:space="preserve">2.1.19. Информация о реализации муниципальной Программы, проектов благоустройства  размещается в государственной информационной системе жилищно-коммунального хозяйства (ГИС ЖКХ) и на официальном сайте администрации Свердловского района в сети «Интернет». </w:t>
      </w:r>
    </w:p>
    <w:p>
      <w:pPr>
        <w:pStyle w:val="Normal"/>
        <w:jc w:val="both"/>
        <w:rPr>
          <w:rFonts w:ascii="Times New Roman" w:hAnsi="Times New Roman" w:cs="Times New Roman"/>
          <w:color w:val="2D2D2D"/>
          <w:sz w:val="28"/>
          <w:szCs w:val="28"/>
        </w:rPr>
      </w:pPr>
      <w:r>
        <w:rPr>
          <w:rFonts w:cs="Times New Roman" w:ascii="Times New Roman" w:hAnsi="Times New Roman"/>
          <w:color w:val="2D2D2D"/>
          <w:sz w:val="28"/>
          <w:szCs w:val="28"/>
        </w:rPr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>Раздел. 3 Перечень и характеристика мероприятий Программы, ресурсное обеспечение Программы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   </w:t>
      </w:r>
      <w:r>
        <w:rPr>
          <w:rFonts w:cs="Times New Roman" w:ascii="Times New Roman" w:hAnsi="Times New Roman"/>
          <w:sz w:val="28"/>
          <w:szCs w:val="28"/>
        </w:rPr>
        <w:t>В целях повышения уровня комплексного благоустройства дворовых территорий многоквартирных домов, общественных территорий городского поселения Змиевка будут реализованы следующие основные мероприятия (согласно Приложения 1 к муниципальной программе ):</w:t>
        <w:tab/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       </w:t>
      </w:r>
      <w:r>
        <w:rPr>
          <w:rFonts w:cs="Times New Roman" w:ascii="Times New Roman" w:hAnsi="Times New Roman"/>
          <w:sz w:val="28"/>
          <w:szCs w:val="28"/>
        </w:rPr>
        <w:t>Основные мероприятия: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          </w:t>
      </w:r>
      <w:r>
        <w:rPr>
          <w:rFonts w:cs="Times New Roman" w:ascii="Times New Roman" w:hAnsi="Times New Roman"/>
          <w:sz w:val="28"/>
          <w:szCs w:val="28"/>
        </w:rPr>
        <w:t>1. Информирование жителей городского поселения Змиевка  о реализации приоритетного проекта «ЖКХ и городская среда» на территории городского поселения Змиевка;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      </w:t>
      </w:r>
      <w:r>
        <w:rPr>
          <w:rFonts w:cs="Times New Roman" w:ascii="Times New Roman" w:hAnsi="Times New Roman"/>
          <w:sz w:val="28"/>
          <w:szCs w:val="28"/>
        </w:rPr>
        <w:t xml:space="preserve">2. Привлечение жителей городского поселения Змиевка  к принятию решений об обращении с предложением по включению дворовой территории, подлежащей благоустройству в Программу.  </w:t>
      </w:r>
    </w:p>
    <w:p>
      <w:pPr>
        <w:pStyle w:val="Normal"/>
        <w:ind w:hanging="15"/>
        <w:jc w:val="both"/>
        <w:rPr/>
      </w:pPr>
      <w:r>
        <w:rPr>
          <w:rFonts w:cs="Times New Roman" w:ascii="Times New Roman" w:hAnsi="Times New Roman"/>
          <w:sz w:val="28"/>
          <w:szCs w:val="28"/>
        </w:rPr>
        <w:tab/>
        <w:t>В целях осуществления благоустройства дворовой территории в рамках Программы заинтересованные лица выбирают виды работ, предполагаемые к выполнению.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           </w:t>
      </w:r>
      <w:r>
        <w:rPr>
          <w:rFonts w:cs="Times New Roman" w:ascii="Times New Roman" w:hAnsi="Times New Roman"/>
          <w:sz w:val="28"/>
          <w:szCs w:val="28"/>
        </w:rPr>
        <w:t>3. Привлечение граждан и организаций городского поселения Змиевка   к принятию решений об обращении с предложением по включению общественной территории, подлежащей благоустройству, в Программу.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       </w:t>
      </w:r>
      <w:r>
        <w:rPr>
          <w:rFonts w:cs="Times New Roman" w:ascii="Times New Roman" w:hAnsi="Times New Roman"/>
          <w:sz w:val="28"/>
          <w:szCs w:val="28"/>
        </w:rPr>
        <w:t>4. Подготовка и утверждение с учетом обсуждения с представителями заинтересованных лиц дизайн-проектов благоустройства дворовых территорий, включенных в муниципальную программу на 2019-2024 годы, содержащих текстовое и визуальное описание предлагаемого проекта (в том числе в виде соответствующих визуализированных изображений) элементов благоустройства, предлагаемых к размещению на соответствующей дворовой территории, которые должны в себя включать обеспечение физической, пространственной и информационной доступности зданий, сооружений, дворовых территорий для инвалидов и других маломобильных групп населения,  согласно Приложению 5 к муниципальной программе.</w:t>
      </w:r>
    </w:p>
    <w:p>
      <w:pPr>
        <w:pStyle w:val="Normal"/>
        <w:widowControl/>
        <w:ind w:hanging="3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    </w:t>
      </w:r>
      <w:r>
        <w:rPr>
          <w:rFonts w:cs="Times New Roman" w:ascii="Times New Roman" w:hAnsi="Times New Roman"/>
          <w:sz w:val="28"/>
          <w:szCs w:val="28"/>
        </w:rPr>
        <w:t>5. Подготовка и утверждение дизайн-проектов благоустройства общественных территорий с включением текстового и визуального описания предлагаемого проекта, в том числе его концепция и перечень, которые должны в себя включать обеспечение физической, пространственной и информационной доступности зданий, сооружений, дворовых территорий для инвалидов и других маломобильных групп населения.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      </w:t>
      </w:r>
      <w:r>
        <w:rPr>
          <w:rFonts w:cs="Times New Roman" w:ascii="Times New Roman" w:hAnsi="Times New Roman"/>
          <w:sz w:val="28"/>
          <w:szCs w:val="28"/>
        </w:rPr>
        <w:t>6. Выполнение работ по благоустройству дворовых и общественных территорий: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          </w:t>
      </w:r>
      <w:r>
        <w:rPr>
          <w:rFonts w:cs="Times New Roman" w:ascii="Times New Roman" w:hAnsi="Times New Roman"/>
          <w:sz w:val="28"/>
          <w:szCs w:val="28"/>
        </w:rPr>
        <w:t>6.1 Перечень дворовых территорий многоквартирных домов, подлежащих благоустройству в 2019-2020  годах, а также на период  2021-2024 годов отражен в приложении 8 к муниципальной программе.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</w:t>
      </w:r>
      <w:r>
        <w:rPr>
          <w:rFonts w:cs="Times New Roman" w:ascii="Times New Roman" w:hAnsi="Times New Roman"/>
          <w:sz w:val="28"/>
          <w:szCs w:val="28"/>
        </w:rPr>
        <w:t>6.2 Перечень общественных территорий, подлежащих благоустройству в 2019 году, а также на период  2020-2024 годов отражен в приложении 9 к муниципальной программе.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       </w:t>
      </w:r>
      <w:r>
        <w:rPr>
          <w:rFonts w:cs="Times New Roman" w:ascii="Times New Roman" w:hAnsi="Times New Roman"/>
          <w:sz w:val="28"/>
          <w:szCs w:val="28"/>
        </w:rPr>
        <w:t>Администрация  Свердловского района выступает главным распорядителем бюджетных средств городского поселения Змиевка. Выделение ассигнований главным распорядителям средств бюджета городского поселения Змиевка  для финансирования мероприятий Программы будет осуществляться в соответствии со сводной бюджетной росписью бюджета городского поселения Змиевка, лимитами бюджетных обязательств на очередной финансовый год и порядком исполнения расходной части бюджета городского поселения  Змиевка установленным бюджетным законодательством.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Перечень основных мероприятий, ресурсное обеспечение Программы, полномочия  исполнителей по реализации мероприятий Программы приведены в Приложении 1  к муниципальной Программе.</w:t>
      </w:r>
    </w:p>
    <w:p>
      <w:pPr>
        <w:pStyle w:val="Normal"/>
        <w:widowControl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      </w:t>
      </w:r>
      <w:r>
        <w:rPr>
          <w:rFonts w:cs="Times New Roman" w:ascii="Times New Roman" w:hAnsi="Times New Roman"/>
          <w:sz w:val="28"/>
          <w:szCs w:val="28"/>
        </w:rPr>
        <w:t>Общий объем финансирования Программы на 2019 год  составляет 3303,043  тыс. руб., из них:</w:t>
      </w:r>
    </w:p>
    <w:p>
      <w:pPr>
        <w:pStyle w:val="Normal"/>
        <w:widowControl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 средства федерального бюджета – 2114,06313 тыс. руб.</w:t>
      </w:r>
    </w:p>
    <w:p>
      <w:pPr>
        <w:pStyle w:val="Normal"/>
        <w:widowControl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 средства бюджета Орловской области – 21,35417 тыс. руб.</w:t>
      </w:r>
    </w:p>
    <w:p>
      <w:pPr>
        <w:pStyle w:val="Normal"/>
        <w:widowControl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 средства Дорожного фонда Орловской области – 1134,59527 тыс. руб.</w:t>
      </w:r>
    </w:p>
    <w:p>
      <w:pPr>
        <w:pStyle w:val="Normal"/>
        <w:widowControl/>
        <w:jc w:val="both"/>
        <w:rPr>
          <w:rFonts w:ascii="Times New Roman" w:hAnsi="Times New Roman" w:cs="Times New Roman"/>
          <w:sz w:val="28"/>
          <w:szCs w:val="28"/>
        </w:rPr>
      </w:pPr>
      <w:bookmarkStart w:id="3" w:name="__DdeLink__1028_498255171"/>
      <w:r>
        <w:rPr>
          <w:rFonts w:cs="Times New Roman" w:ascii="Times New Roman" w:hAnsi="Times New Roman"/>
          <w:sz w:val="28"/>
          <w:szCs w:val="28"/>
        </w:rPr>
        <w:t>- средства бюджета городского поселения Змиевка   -  33,03043</w:t>
      </w:r>
      <w:bookmarkEnd w:id="3"/>
      <w:r>
        <w:rPr>
          <w:rFonts w:cs="Times New Roman" w:ascii="Times New Roman" w:hAnsi="Times New Roman"/>
          <w:sz w:val="28"/>
          <w:szCs w:val="28"/>
        </w:rPr>
        <w:t xml:space="preserve"> тыс. руб.</w:t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            </w:t>
      </w:r>
      <w:r>
        <w:rPr>
          <w:rFonts w:cs="Times New Roman" w:ascii="Times New Roman" w:hAnsi="Times New Roman"/>
          <w:sz w:val="28"/>
          <w:szCs w:val="28"/>
        </w:rPr>
        <w:t>В том числе: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на финансирование мероприятий  по благоустройству дворовых территорий составляет – 3303,043 тыс. руб. из них:</w:t>
      </w:r>
    </w:p>
    <w:p>
      <w:pPr>
        <w:pStyle w:val="Normal"/>
        <w:widowControl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 средства федерального бюджета – 2114,06313 тыс. руб.</w:t>
      </w:r>
    </w:p>
    <w:p>
      <w:pPr>
        <w:pStyle w:val="Normal"/>
        <w:widowControl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 средства бюджета Орловской области – 21,35417 тыс. руб.</w:t>
      </w:r>
    </w:p>
    <w:p>
      <w:pPr>
        <w:pStyle w:val="Normal"/>
        <w:widowControl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 средства Дорожного фонда Орловской области – 1134,59527 тыс. руб.</w:t>
      </w:r>
    </w:p>
    <w:p>
      <w:pPr>
        <w:pStyle w:val="Normal"/>
        <w:widowControl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 средства бюджета городского поселения Змиевка   -  33,03043 тыс. руб.</w:t>
      </w:r>
    </w:p>
    <w:p>
      <w:pPr>
        <w:pStyle w:val="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     </w:t>
      </w:r>
      <w:r>
        <w:rPr>
          <w:rFonts w:cs="Times New Roman" w:ascii="Times New Roman" w:hAnsi="Times New Roman"/>
          <w:sz w:val="28"/>
          <w:szCs w:val="28"/>
        </w:rPr>
        <w:t xml:space="preserve">Общий объем финансирования Программы на 2020 год  составляет </w:t>
      </w:r>
      <w:r>
        <w:rPr>
          <w:rFonts w:cs="Times New Roman" w:ascii="Times New Roman" w:hAnsi="Times New Roman"/>
          <w:sz w:val="28"/>
          <w:szCs w:val="28"/>
        </w:rPr>
        <w:t>3649,441</w:t>
      </w:r>
      <w:r>
        <w:rPr>
          <w:rFonts w:cs="Times New Roman" w:ascii="Times New Roman" w:hAnsi="Times New Roman"/>
          <w:sz w:val="28"/>
          <w:szCs w:val="28"/>
        </w:rPr>
        <w:t xml:space="preserve">  тыс. руб., из них:</w:t>
      </w:r>
    </w:p>
    <w:p>
      <w:pPr>
        <w:pStyle w:val="Normal"/>
        <w:widowControl/>
        <w:jc w:val="both"/>
        <w:rPr/>
      </w:pPr>
      <w:bookmarkStart w:id="4" w:name="__DdeLink__1008_1475984435"/>
      <w:r>
        <w:rPr>
          <w:rFonts w:cs="Times New Roman" w:ascii="Times New Roman" w:hAnsi="Times New Roman"/>
          <w:sz w:val="28"/>
          <w:szCs w:val="28"/>
        </w:rPr>
        <w:t>- средства федерального бюджета – 1824,52976 тыс. руб.</w:t>
      </w:r>
    </w:p>
    <w:p>
      <w:pPr>
        <w:pStyle w:val="Normal"/>
        <w:widowControl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 средства бюджета Орловской области – 18,42959  тыс. руб.</w:t>
      </w:r>
    </w:p>
    <w:p>
      <w:pPr>
        <w:pStyle w:val="Normal"/>
        <w:widowControl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 средства Дорожного фонда Орловской области – 1617,56423 тыс. руб.</w:t>
      </w:r>
    </w:p>
    <w:p>
      <w:pPr>
        <w:pStyle w:val="Normal"/>
        <w:widowControl/>
        <w:jc w:val="both"/>
        <w:rPr/>
      </w:pPr>
      <w:bookmarkStart w:id="5" w:name="__DdeLink__1028_4982551711"/>
      <w:r>
        <w:rPr>
          <w:rFonts w:cs="Times New Roman" w:ascii="Times New Roman" w:hAnsi="Times New Roman"/>
          <w:sz w:val="28"/>
          <w:szCs w:val="28"/>
        </w:rPr>
        <w:t xml:space="preserve">- средства бюджета городского поселения Змиевка   -  </w:t>
      </w:r>
      <w:bookmarkEnd w:id="5"/>
      <w:r>
        <w:rPr>
          <w:rFonts w:cs="Times New Roman" w:ascii="Times New Roman" w:hAnsi="Times New Roman"/>
          <w:sz w:val="28"/>
          <w:szCs w:val="28"/>
        </w:rPr>
        <w:t>188,91742</w:t>
      </w:r>
      <w:r>
        <w:rPr>
          <w:rFonts w:cs="Times New Roman" w:ascii="Times New Roman" w:hAnsi="Times New Roman"/>
          <w:sz w:val="28"/>
          <w:szCs w:val="28"/>
        </w:rPr>
        <w:t xml:space="preserve"> тыс. руб.</w:t>
      </w:r>
      <w:bookmarkEnd w:id="4"/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            </w:t>
      </w:r>
      <w:r>
        <w:rPr>
          <w:rFonts w:cs="Times New Roman" w:ascii="Times New Roman" w:hAnsi="Times New Roman"/>
          <w:sz w:val="28"/>
          <w:szCs w:val="28"/>
        </w:rPr>
        <w:t>В том числе: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на финансирование мероприятий  по благоустройству дворовых территорий составляет – </w:t>
      </w:r>
      <w:r>
        <w:rPr>
          <w:rFonts w:cs="Times New Roman" w:ascii="Times New Roman" w:hAnsi="Times New Roman"/>
          <w:sz w:val="28"/>
          <w:szCs w:val="28"/>
        </w:rPr>
        <w:t>3649,441</w:t>
      </w:r>
      <w:r>
        <w:rPr>
          <w:rFonts w:cs="Times New Roman" w:ascii="Times New Roman" w:hAnsi="Times New Roman"/>
          <w:sz w:val="28"/>
          <w:szCs w:val="28"/>
        </w:rPr>
        <w:t xml:space="preserve"> тыс. руб. из них:</w:t>
      </w:r>
    </w:p>
    <w:p>
      <w:pPr>
        <w:pStyle w:val="Normal"/>
        <w:widowControl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 средства федерального бюджета – 1824,52976 тыс. руб.</w:t>
      </w:r>
    </w:p>
    <w:p>
      <w:pPr>
        <w:pStyle w:val="Normal"/>
        <w:widowControl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 средства бюджета Орловской области – 18,42959  тыс. руб.</w:t>
      </w:r>
    </w:p>
    <w:p>
      <w:pPr>
        <w:pStyle w:val="Normal"/>
        <w:widowControl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 средства Дорожного фонда Орловской области – 1617,56423 тыс. руб.</w:t>
      </w:r>
    </w:p>
    <w:p>
      <w:pPr>
        <w:pStyle w:val="Normal"/>
        <w:widowControl/>
        <w:jc w:val="both"/>
        <w:rPr/>
      </w:pPr>
      <w:bookmarkStart w:id="6" w:name="__DdeLink__1028_49825517111"/>
      <w:r>
        <w:rPr>
          <w:rFonts w:cs="Times New Roman" w:ascii="Times New Roman" w:hAnsi="Times New Roman"/>
          <w:sz w:val="28"/>
          <w:szCs w:val="28"/>
        </w:rPr>
        <w:t xml:space="preserve">- средства бюджета городского поселения Змиевка   -  </w:t>
      </w:r>
      <w:bookmarkEnd w:id="6"/>
      <w:r>
        <w:rPr>
          <w:rFonts w:cs="Times New Roman" w:ascii="Times New Roman" w:hAnsi="Times New Roman"/>
          <w:sz w:val="28"/>
          <w:szCs w:val="28"/>
        </w:rPr>
        <w:t>188,91742</w:t>
      </w:r>
      <w:r>
        <w:rPr>
          <w:rFonts w:cs="Times New Roman" w:ascii="Times New Roman" w:hAnsi="Times New Roman"/>
          <w:sz w:val="28"/>
          <w:szCs w:val="28"/>
        </w:rPr>
        <w:t xml:space="preserve"> тыс. руб.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>Раздел 4. Перечень целевых показателей Программы.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        </w:t>
      </w:r>
      <w:r>
        <w:rPr>
          <w:rFonts w:cs="Times New Roman" w:ascii="Times New Roman" w:hAnsi="Times New Roman"/>
          <w:sz w:val="28"/>
          <w:szCs w:val="28"/>
        </w:rPr>
        <w:t>Программа реализуется   в течение 2019-2024 годов.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Целевые показатели Программы приведены в Приложении 2 к муниципальной Программе.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>Раздел 5. Ожидаемые результаты реализации Программы. Управление рисками реализации Программы.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             </w:t>
      </w:r>
      <w:r>
        <w:rPr>
          <w:rFonts w:cs="Times New Roman" w:ascii="Times New Roman" w:hAnsi="Times New Roman"/>
          <w:sz w:val="28"/>
          <w:szCs w:val="28"/>
        </w:rPr>
        <w:t>Ожидаемые результаты Программы: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     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        </w:t>
      </w:r>
      <w:r>
        <w:rPr>
          <w:rFonts w:cs="Times New Roman" w:ascii="Times New Roman" w:hAnsi="Times New Roman"/>
          <w:sz w:val="28"/>
          <w:szCs w:val="28"/>
        </w:rPr>
        <w:t>1. Количество благоустроенных дворовых территорий составит 26 единицы.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                </w:t>
      </w:r>
      <w:r>
        <w:rPr>
          <w:rFonts w:cs="Times New Roman" w:ascii="Times New Roman" w:hAnsi="Times New Roman"/>
          <w:sz w:val="28"/>
          <w:szCs w:val="28"/>
        </w:rPr>
        <w:t xml:space="preserve">2. Количество благоустроенных общественных территорий составит  3 единицы.  Подготовка проектно - сметной документации - 29 единиц.                                    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Реализация Программы сопряжена с рядом рисков, которые могут препятствовать своевременному достижению запланированных результатов: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-законодательные  риски, обусловленные изменением земельного, градостроительного законодательства, законодательства в сфере жилищно-коммунального хозяйства;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 социальные риски, связанные с низкой социальной активностью населения,  отсутствием массовой культуры в благоустройстве дворовых территорий;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 экономические риски, связанные с кризисными явлениями в финансово - экономическом развитии городского поселения Змиевка;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 производственные риски, связанные с невыполнением подрядчиками работ в установленный договором срок, ненадлежащим исполнением обязательств подрядчиками.</w:t>
      </w:r>
    </w:p>
    <w:p>
      <w:pPr>
        <w:pStyle w:val="Normal"/>
        <w:ind w:firstLine="708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Способами ограничения рисков будут являться: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 формирование эффективной системы управления Программой на основе четкого распределения функций, полномочий и ответственности ответственного исполнителя   Программы;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 проведение мониторинга выполнения Программы, регулярного анализа хода выполнения Программы.</w:t>
      </w:r>
    </w:p>
    <w:p>
      <w:pPr>
        <w:sectPr>
          <w:type w:val="nextPage"/>
          <w:pgSz w:w="11906" w:h="16838"/>
          <w:pgMar w:left="1701" w:right="567" w:header="0" w:top="1134" w:footer="0" w:bottom="1134" w:gutter="0"/>
          <w:pgNumType w:fmt="decimal"/>
          <w:formProt w:val="false"/>
          <w:textDirection w:val="lrTb"/>
          <w:docGrid w:type="default" w:linePitch="240" w:charSpace="0"/>
        </w:sect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     </w:t>
      </w:r>
      <w:r>
        <w:rPr>
          <w:rFonts w:cs="Times New Roman" w:ascii="Times New Roman" w:hAnsi="Times New Roman"/>
          <w:sz w:val="28"/>
          <w:szCs w:val="28"/>
        </w:rPr>
        <w:t>Ответственный исполнитель Программы ежеквартально представляет     отчетную информацию,  в срок до 15 числа месяца, следующего за отчетным периодом  (1 квартал, полугодие, 9 месяцев, год)  в Департамент строительства, топливно - энергетического комплекса, жилищно-коммунального хозяйства, транспорта и дорожного хозяйства Орловской области в соответствии с п. 15 приложения 7 постановления Правительства Орловской области от 14.03.2017 № 85 «Об утверждении государственной программы «Формирование современной городской среды на территории Орловской области</w:t>
      </w:r>
    </w:p>
    <w:tbl>
      <w:tblPr>
        <w:tblW w:w="9593" w:type="dxa"/>
        <w:jc w:val="left"/>
        <w:tblInd w:w="49" w:type="dxa"/>
        <w:tblBorders>
          <w:top w:val="single" w:sz="2" w:space="0" w:color="FFFFFF"/>
          <w:left w:val="single" w:sz="2" w:space="0" w:color="FFFFFF"/>
          <w:bottom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CellMar>
          <w:top w:w="55" w:type="dxa"/>
          <w:left w:w="36" w:type="dxa"/>
          <w:bottom w:w="55" w:type="dxa"/>
          <w:right w:w="55" w:type="dxa"/>
        </w:tblCellMar>
        <w:tblLook w:val="04a0"/>
      </w:tblPr>
      <w:tblGrid>
        <w:gridCol w:w="9593"/>
      </w:tblGrid>
      <w:tr>
        <w:trPr/>
        <w:tc>
          <w:tcPr>
            <w:tcW w:w="9593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  <w:insideH w:val="single" w:sz="2" w:space="0" w:color="FFFFFF"/>
              <w:insideV w:val="single" w:sz="2" w:space="0" w:color="FFFFFF"/>
            </w:tcBorders>
            <w:shd w:fill="auto" w:val="clear"/>
          </w:tcPr>
          <w:p>
            <w:pPr>
              <w:pStyle w:val="Style2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9593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  <w:insideH w:val="single" w:sz="2" w:space="0" w:color="FFFFFF"/>
              <w:insideV w:val="single" w:sz="2" w:space="0" w:color="FFFFFF"/>
            </w:tcBorders>
            <w:shd w:fill="auto" w:val="clear"/>
          </w:tcPr>
          <w:p>
            <w:pPr>
              <w:pStyle w:val="Style22"/>
              <w:ind w:left="5556" w:hanging="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</w:t>
            </w:r>
            <w:r>
              <w:rPr>
                <w:rFonts w:ascii="Times New Roman" w:hAnsi="Times New Roman"/>
                <w:sz w:val="28"/>
                <w:szCs w:val="28"/>
              </w:rPr>
              <w:t>Приложение 2</w:t>
            </w:r>
          </w:p>
          <w:p>
            <w:pPr>
              <w:pStyle w:val="Style22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>к муниципальной программе</w:t>
            </w:r>
          </w:p>
          <w:p>
            <w:pPr>
              <w:pStyle w:val="Normal"/>
              <w:tabs>
                <w:tab w:val="left" w:pos="0" w:leader="none"/>
                <w:tab w:val="center" w:pos="4680" w:leader="none"/>
                <w:tab w:val="center" w:pos="4770" w:leader="none"/>
                <w:tab w:val="left" w:pos="4956" w:leader="none"/>
                <w:tab w:val="left" w:pos="6040" w:leader="none"/>
              </w:tabs>
              <w:jc w:val="right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«Формирование современной городской </w:t>
            </w:r>
          </w:p>
          <w:p>
            <w:pPr>
              <w:pStyle w:val="Normal"/>
              <w:tabs>
                <w:tab w:val="left" w:pos="0" w:leader="none"/>
                <w:tab w:val="center" w:pos="4680" w:leader="none"/>
                <w:tab w:val="center" w:pos="4770" w:leader="none"/>
                <w:tab w:val="left" w:pos="4956" w:leader="none"/>
                <w:tab w:val="left" w:pos="6040" w:leader="none"/>
              </w:tabs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                                                                      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среды на территории  городского</w:t>
            </w:r>
          </w:p>
          <w:p>
            <w:pPr>
              <w:pStyle w:val="Normal"/>
              <w:tabs>
                <w:tab w:val="left" w:pos="0" w:leader="none"/>
                <w:tab w:val="center" w:pos="4680" w:leader="none"/>
                <w:tab w:val="center" w:pos="4770" w:leader="none"/>
                <w:tab w:val="left" w:pos="4956" w:leader="none"/>
                <w:tab w:val="left" w:pos="6040" w:leader="none"/>
              </w:tabs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                                                               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поселения Змиевка Свердловского района </w:t>
            </w:r>
          </w:p>
          <w:p>
            <w:pPr>
              <w:pStyle w:val="Normal"/>
              <w:tabs>
                <w:tab w:val="left" w:pos="0" w:leader="none"/>
                <w:tab w:val="center" w:pos="4680" w:leader="none"/>
                <w:tab w:val="center" w:pos="4770" w:leader="none"/>
                <w:tab w:val="left" w:pos="4956" w:leader="none"/>
                <w:tab w:val="left" w:pos="6040" w:leader="none"/>
              </w:tabs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                                                                  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Орловской области  в 2019-2024 годах»                  </w:t>
            </w:r>
          </w:p>
          <w:p>
            <w:pPr>
              <w:pStyle w:val="Style22"/>
              <w:ind w:left="5556" w:hanging="0"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left" w:pos="0" w:leader="none"/>
          <w:tab w:val="center" w:pos="4680" w:leader="none"/>
          <w:tab w:val="center" w:pos="4770" w:leader="none"/>
          <w:tab w:val="left" w:pos="4956" w:leader="none"/>
          <w:tab w:val="left" w:pos="6040" w:leader="none"/>
        </w:tabs>
        <w:jc w:val="center"/>
        <w:rPr/>
      </w:pPr>
      <w:r>
        <w:rPr>
          <w:rFonts w:cs="Times New Roman" w:ascii="Times New Roman" w:hAnsi="Times New Roman"/>
          <w:sz w:val="28"/>
          <w:szCs w:val="28"/>
        </w:rPr>
        <w:t>Сведения о целевых показателях эффективности реализации муниципальной программы «Формирование современной городской среды на территории городского поселения Змиевка Свердловского района</w:t>
      </w:r>
    </w:p>
    <w:p>
      <w:pPr>
        <w:pStyle w:val="Normal"/>
        <w:tabs>
          <w:tab w:val="left" w:pos="0" w:leader="none"/>
          <w:tab w:val="center" w:pos="4680" w:leader="none"/>
          <w:tab w:val="center" w:pos="4770" w:leader="none"/>
          <w:tab w:val="left" w:pos="4956" w:leader="none"/>
          <w:tab w:val="left" w:pos="6040" w:leader="none"/>
        </w:tabs>
        <w:jc w:val="center"/>
        <w:rPr/>
      </w:pPr>
      <w:r>
        <w:rPr>
          <w:rFonts w:cs="Times New Roman" w:ascii="Times New Roman" w:hAnsi="Times New Roman"/>
          <w:sz w:val="28"/>
          <w:szCs w:val="28"/>
        </w:rPr>
        <w:t>Орловской области  в 2019-2024 годах»</w:t>
      </w:r>
    </w:p>
    <w:p>
      <w:pPr>
        <w:pStyle w:val="ConsPlus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ConsPlusNormal"/>
        <w:ind w:firstLine="540"/>
        <w:jc w:val="both"/>
        <w:rPr/>
      </w:pPr>
      <w:r>
        <w:rPr>
          <w:sz w:val="28"/>
          <w:szCs w:val="28"/>
        </w:rPr>
        <w:t xml:space="preserve">                                                                                                        </w:t>
      </w:r>
      <w:r>
        <w:rPr>
          <w:sz w:val="28"/>
          <w:szCs w:val="28"/>
        </w:rPr>
        <w:t>Таблица 2</w:t>
      </w:r>
    </w:p>
    <w:tbl>
      <w:tblPr>
        <w:tblW w:w="10203" w:type="dxa"/>
        <w:jc w:val="left"/>
        <w:tblInd w:w="-913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102" w:type="dxa"/>
          <w:left w:w="42" w:type="dxa"/>
          <w:bottom w:w="102" w:type="dxa"/>
          <w:right w:w="62" w:type="dxa"/>
        </w:tblCellMar>
        <w:tblLook w:val="04a0"/>
      </w:tblPr>
      <w:tblGrid>
        <w:gridCol w:w="549"/>
        <w:gridCol w:w="2378"/>
        <w:gridCol w:w="1275"/>
        <w:gridCol w:w="958"/>
        <w:gridCol w:w="833"/>
        <w:gridCol w:w="702"/>
        <w:gridCol w:w="702"/>
        <w:gridCol w:w="702"/>
        <w:gridCol w:w="702"/>
        <w:gridCol w:w="702"/>
        <w:gridCol w:w="698"/>
      </w:tblGrid>
      <w:tr>
        <w:trPr/>
        <w:tc>
          <w:tcPr>
            <w:tcW w:w="54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jc w:val="center"/>
              <w:rPr/>
            </w:pPr>
            <w:r>
              <w:rPr>
                <w:sz w:val="26"/>
                <w:szCs w:val="26"/>
              </w:rPr>
              <w:t>N п/п</w:t>
            </w:r>
          </w:p>
        </w:tc>
        <w:tc>
          <w:tcPr>
            <w:tcW w:w="237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jc w:val="center"/>
              <w:rPr/>
            </w:pPr>
            <w:r>
              <w:rPr>
                <w:sz w:val="26"/>
                <w:szCs w:val="26"/>
              </w:rPr>
              <w:t>Наименование показателя</w:t>
            </w:r>
          </w:p>
        </w:tc>
        <w:tc>
          <w:tcPr>
            <w:tcW w:w="127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jc w:val="center"/>
              <w:rPr/>
            </w:pPr>
            <w:r>
              <w:rPr>
                <w:sz w:val="26"/>
                <w:szCs w:val="26"/>
              </w:rPr>
              <w:t>Единица измерения</w:t>
            </w:r>
          </w:p>
        </w:tc>
        <w:tc>
          <w:tcPr>
            <w:tcW w:w="5999" w:type="dxa"/>
            <w:gridSpan w:val="8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jc w:val="center"/>
              <w:rPr/>
            </w:pPr>
            <w:r>
              <w:rPr>
                <w:sz w:val="26"/>
                <w:szCs w:val="26"/>
              </w:rPr>
              <w:t>Значение показателей эффективности</w:t>
            </w:r>
          </w:p>
        </w:tc>
      </w:tr>
      <w:tr>
        <w:trPr/>
        <w:tc>
          <w:tcPr>
            <w:tcW w:w="54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</w:r>
          </w:p>
        </w:tc>
        <w:tc>
          <w:tcPr>
            <w:tcW w:w="237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</w:r>
          </w:p>
        </w:tc>
        <w:tc>
          <w:tcPr>
            <w:tcW w:w="12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</w:r>
          </w:p>
        </w:tc>
        <w:tc>
          <w:tcPr>
            <w:tcW w:w="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jc w:val="center"/>
              <w:rPr/>
            </w:pPr>
            <w:r>
              <w:rPr>
                <w:sz w:val="26"/>
                <w:szCs w:val="26"/>
              </w:rPr>
              <w:t>2017 год</w:t>
            </w:r>
          </w:p>
        </w:tc>
        <w:tc>
          <w:tcPr>
            <w:tcW w:w="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rPr/>
            </w:pPr>
            <w:r>
              <w:rPr>
                <w:sz w:val="26"/>
                <w:szCs w:val="26"/>
              </w:rPr>
              <w:t>2018 год</w:t>
            </w:r>
          </w:p>
        </w:tc>
        <w:tc>
          <w:tcPr>
            <w:tcW w:w="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rPr/>
            </w:pPr>
            <w:r>
              <w:rPr>
                <w:sz w:val="26"/>
                <w:szCs w:val="26"/>
              </w:rPr>
              <w:t>2019 год</w:t>
            </w:r>
          </w:p>
        </w:tc>
        <w:tc>
          <w:tcPr>
            <w:tcW w:w="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rPr/>
            </w:pPr>
            <w:r>
              <w:rPr>
                <w:sz w:val="26"/>
                <w:szCs w:val="26"/>
              </w:rPr>
              <w:t>2020 год</w:t>
            </w:r>
          </w:p>
        </w:tc>
        <w:tc>
          <w:tcPr>
            <w:tcW w:w="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rPr/>
            </w:pPr>
            <w:r>
              <w:rPr>
                <w:sz w:val="26"/>
                <w:szCs w:val="26"/>
              </w:rPr>
              <w:t>2021 год</w:t>
            </w:r>
          </w:p>
        </w:tc>
        <w:tc>
          <w:tcPr>
            <w:tcW w:w="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rPr/>
            </w:pPr>
            <w:r>
              <w:rPr>
                <w:sz w:val="26"/>
                <w:szCs w:val="26"/>
              </w:rPr>
              <w:t>2022 год</w:t>
            </w:r>
          </w:p>
        </w:tc>
        <w:tc>
          <w:tcPr>
            <w:tcW w:w="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rPr/>
            </w:pPr>
            <w:r>
              <w:rPr>
                <w:sz w:val="26"/>
                <w:szCs w:val="26"/>
              </w:rPr>
              <w:t>2023 год</w:t>
            </w:r>
          </w:p>
        </w:tc>
        <w:tc>
          <w:tcPr>
            <w:tcW w:w="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rPr/>
            </w:pPr>
            <w:r>
              <w:rPr>
                <w:sz w:val="26"/>
                <w:szCs w:val="26"/>
              </w:rPr>
              <w:t>2024 год</w:t>
            </w:r>
          </w:p>
        </w:tc>
      </w:tr>
      <w:tr>
        <w:trPr/>
        <w:tc>
          <w:tcPr>
            <w:tcW w:w="5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rPr/>
            </w:pPr>
            <w:r>
              <w:rPr>
                <w:sz w:val="26"/>
                <w:szCs w:val="26"/>
              </w:rPr>
              <w:t>1.</w:t>
            </w:r>
          </w:p>
        </w:tc>
        <w:tc>
          <w:tcPr>
            <w:tcW w:w="23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Количество протоколов общих собраний собственников о включении дворовой территории в Программу. 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jc w:val="center"/>
              <w:rPr/>
            </w:pPr>
            <w:r>
              <w:rPr>
                <w:sz w:val="26"/>
                <w:szCs w:val="26"/>
              </w:rPr>
              <w:t>ед.</w:t>
            </w:r>
          </w:p>
        </w:tc>
        <w:tc>
          <w:tcPr>
            <w:tcW w:w="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jc w:val="center"/>
              <w:rPr/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jc w:val="center"/>
              <w:rPr/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jc w:val="center"/>
              <w:rPr/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jc w:val="center"/>
              <w:rPr/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jc w:val="center"/>
              <w:rPr/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jc w:val="center"/>
              <w:rPr/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jc w:val="center"/>
              <w:rPr/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jc w:val="center"/>
              <w:rPr/>
            </w:pPr>
            <w:r>
              <w:rPr>
                <w:sz w:val="26"/>
                <w:szCs w:val="26"/>
              </w:rPr>
              <w:t>0</w:t>
            </w:r>
          </w:p>
        </w:tc>
      </w:tr>
      <w:tr>
        <w:trPr/>
        <w:tc>
          <w:tcPr>
            <w:tcW w:w="5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rPr/>
            </w:pPr>
            <w:r>
              <w:rPr>
                <w:sz w:val="26"/>
                <w:szCs w:val="26"/>
              </w:rPr>
              <w:t>2.</w:t>
            </w:r>
          </w:p>
        </w:tc>
        <w:tc>
          <w:tcPr>
            <w:tcW w:w="23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Количество  благоустроенных дворовых территорий.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jc w:val="center"/>
              <w:rPr/>
            </w:pPr>
            <w:r>
              <w:rPr>
                <w:sz w:val="26"/>
                <w:szCs w:val="26"/>
              </w:rPr>
              <w:t xml:space="preserve">ед. </w:t>
            </w:r>
          </w:p>
        </w:tc>
        <w:tc>
          <w:tcPr>
            <w:tcW w:w="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jc w:val="center"/>
              <w:rPr/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jc w:val="center"/>
              <w:rPr/>
            </w:pPr>
            <w:r>
              <w:rPr>
                <w:sz w:val="26"/>
                <w:szCs w:val="26"/>
              </w:rPr>
              <w:t>2</w:t>
            </w:r>
          </w:p>
          <w:p>
            <w:pPr>
              <w:pStyle w:val="ConsPlus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jc w:val="center"/>
              <w:rPr/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506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jc w:val="left"/>
              <w:rPr/>
            </w:pPr>
            <w:r>
              <w:rPr/>
              <w:t>5                       16</w:t>
            </w:r>
          </w:p>
        </w:tc>
      </w:tr>
      <w:tr>
        <w:trPr/>
        <w:tc>
          <w:tcPr>
            <w:tcW w:w="5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rPr/>
            </w:pPr>
            <w:r>
              <w:rPr>
                <w:sz w:val="26"/>
                <w:szCs w:val="26"/>
              </w:rPr>
              <w:t>3.</w:t>
            </w:r>
          </w:p>
        </w:tc>
        <w:tc>
          <w:tcPr>
            <w:tcW w:w="23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Количество благоустроенных общественных территорий.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jc w:val="center"/>
              <w:rPr/>
            </w:pPr>
            <w:r>
              <w:rPr>
                <w:sz w:val="26"/>
                <w:szCs w:val="26"/>
              </w:rPr>
              <w:t>ед.</w:t>
            </w:r>
          </w:p>
        </w:tc>
        <w:tc>
          <w:tcPr>
            <w:tcW w:w="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jc w:val="center"/>
              <w:rPr/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jc w:val="center"/>
              <w:rPr/>
            </w:pP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</w:t>
            </w:r>
          </w:p>
        </w:tc>
        <w:tc>
          <w:tcPr>
            <w:tcW w:w="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jc w:val="center"/>
              <w:rPr/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jc w:val="center"/>
              <w:rPr/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jc w:val="center"/>
              <w:rPr/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jc w:val="center"/>
              <w:rPr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jc w:val="center"/>
              <w:rPr/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jc w:val="center"/>
              <w:rPr/>
            </w:pPr>
            <w:r>
              <w:rPr>
                <w:sz w:val="26"/>
                <w:szCs w:val="26"/>
              </w:rPr>
              <w:t>1</w:t>
            </w:r>
          </w:p>
        </w:tc>
      </w:tr>
      <w:tr>
        <w:trPr/>
        <w:tc>
          <w:tcPr>
            <w:tcW w:w="5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rPr/>
            </w:pPr>
            <w:r>
              <w:rPr>
                <w:sz w:val="26"/>
                <w:szCs w:val="26"/>
              </w:rPr>
              <w:t>4.</w:t>
            </w:r>
          </w:p>
        </w:tc>
        <w:tc>
          <w:tcPr>
            <w:tcW w:w="23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Доля граждан, принявших участие в решении вопросов развития городской среды от общего количества граждан  в возрасте от 14 лет, проживающих на территории городского поселения Змиевка Свердловского района»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jc w:val="center"/>
              <w:rPr/>
            </w:pPr>
            <w:r>
              <w:rPr>
                <w:sz w:val="26"/>
                <w:szCs w:val="26"/>
              </w:rPr>
              <w:t>%</w:t>
            </w:r>
          </w:p>
        </w:tc>
        <w:tc>
          <w:tcPr>
            <w:tcW w:w="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</w:tcPr>
          <w:p>
            <w:pPr>
              <w:pStyle w:val="ConsPlusNormal"/>
              <w:jc w:val="center"/>
              <w:rPr/>
            </w:pPr>
            <w:r>
              <w:rPr>
                <w:sz w:val="26"/>
                <w:szCs w:val="26"/>
              </w:rPr>
              <w:t>0,1</w:t>
            </w:r>
          </w:p>
        </w:tc>
        <w:tc>
          <w:tcPr>
            <w:tcW w:w="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jc w:val="center"/>
              <w:rPr/>
            </w:pPr>
            <w:r>
              <w:rPr>
                <w:sz w:val="26"/>
                <w:szCs w:val="26"/>
              </w:rPr>
              <w:t>0,1</w:t>
            </w:r>
          </w:p>
        </w:tc>
        <w:tc>
          <w:tcPr>
            <w:tcW w:w="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jc w:val="center"/>
              <w:rPr/>
            </w:pPr>
            <w:r>
              <w:rPr>
                <w:sz w:val="26"/>
                <w:szCs w:val="26"/>
              </w:rPr>
              <w:t>0,4</w:t>
            </w:r>
          </w:p>
        </w:tc>
        <w:tc>
          <w:tcPr>
            <w:tcW w:w="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jc w:val="center"/>
              <w:rPr/>
            </w:pPr>
            <w:r>
              <w:rPr>
                <w:sz w:val="26"/>
                <w:szCs w:val="26"/>
              </w:rPr>
              <w:t>0,6</w:t>
            </w:r>
          </w:p>
        </w:tc>
        <w:tc>
          <w:tcPr>
            <w:tcW w:w="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jc w:val="center"/>
              <w:rPr/>
            </w:pPr>
            <w:r>
              <w:rPr>
                <w:sz w:val="26"/>
                <w:szCs w:val="26"/>
              </w:rPr>
              <w:t>0,7</w:t>
            </w:r>
          </w:p>
        </w:tc>
        <w:tc>
          <w:tcPr>
            <w:tcW w:w="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jc w:val="center"/>
              <w:rPr/>
            </w:pPr>
            <w:r>
              <w:rPr>
                <w:sz w:val="26"/>
                <w:szCs w:val="26"/>
              </w:rPr>
              <w:t>1,0</w:t>
            </w:r>
          </w:p>
        </w:tc>
        <w:tc>
          <w:tcPr>
            <w:tcW w:w="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jc w:val="center"/>
              <w:rPr/>
            </w:pPr>
            <w:r>
              <w:rPr>
                <w:sz w:val="26"/>
                <w:szCs w:val="26"/>
              </w:rPr>
              <w:t>1,2</w:t>
            </w:r>
          </w:p>
        </w:tc>
        <w:tc>
          <w:tcPr>
            <w:tcW w:w="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ConsPlusNormal"/>
              <w:jc w:val="center"/>
              <w:rPr/>
            </w:pPr>
            <w:r>
              <w:rPr>
                <w:sz w:val="26"/>
                <w:szCs w:val="26"/>
              </w:rPr>
              <w:t>1,5</w:t>
            </w:r>
          </w:p>
        </w:tc>
      </w:tr>
    </w:tbl>
    <w:p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9246" w:type="dxa"/>
        <w:jc w:val="left"/>
        <w:tblInd w:w="-14" w:type="dxa"/>
        <w:tblBorders/>
        <w:tblCellMar>
          <w:top w:w="102" w:type="dxa"/>
          <w:left w:w="108" w:type="dxa"/>
          <w:bottom w:w="102" w:type="dxa"/>
          <w:right w:w="108" w:type="dxa"/>
        </w:tblCellMar>
        <w:tblLook w:val="04a0"/>
      </w:tblPr>
      <w:tblGrid>
        <w:gridCol w:w="918"/>
        <w:gridCol w:w="962"/>
        <w:gridCol w:w="964"/>
        <w:gridCol w:w="957"/>
        <w:gridCol w:w="1459"/>
        <w:gridCol w:w="948"/>
        <w:gridCol w:w="863"/>
        <w:gridCol w:w="1"/>
        <w:gridCol w:w="953"/>
        <w:gridCol w:w="1220"/>
      </w:tblGrid>
      <w:tr>
        <w:trPr>
          <w:trHeight w:val="1445" w:hRule="atLeast"/>
        </w:trPr>
        <w:tc>
          <w:tcPr>
            <w:tcW w:w="918" w:type="dxa"/>
            <w:tcBorders/>
            <w:shd w:fill="auto" w:val="clear"/>
            <w:vAlign w:val="center"/>
          </w:tcPr>
          <w:p>
            <w:pPr>
              <w:pStyle w:val="Norma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962" w:type="dxa"/>
            <w:tcBorders/>
            <w:shd w:fill="auto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Norma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964" w:type="dxa"/>
            <w:tcBorders/>
            <w:shd w:fill="auto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Norma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6401" w:type="dxa"/>
            <w:gridSpan w:val="7"/>
            <w:tcBorders/>
            <w:shd w:fill="auto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Normal"/>
              <w:widowControl/>
              <w:ind w:left="859" w:hanging="859"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        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Приложение 3</w:t>
            </w:r>
            <w:r>
              <w:rPr/>
              <w:br/>
            </w:r>
            <w:r>
              <w:rPr>
                <w:rFonts w:cs="Times New Roman" w:ascii="Times New Roman" w:hAnsi="Times New Roman"/>
                <w:sz w:val="28"/>
                <w:szCs w:val="28"/>
              </w:rPr>
              <w:t>к муниципальной программе</w:t>
            </w:r>
            <w:r>
              <w:rPr/>
              <w:br/>
            </w:r>
            <w:r>
              <w:rPr>
                <w:rFonts w:cs="Times New Roman" w:ascii="Times New Roman" w:hAnsi="Times New Roman"/>
                <w:sz w:val="28"/>
                <w:szCs w:val="28"/>
              </w:rPr>
              <w:t>«Формирование  современной</w:t>
            </w:r>
            <w:r>
              <w:rPr/>
              <w:br/>
            </w:r>
            <w:r>
              <w:rPr>
                <w:rFonts w:cs="Times New Roman" w:ascii="Times New Roman" w:hAnsi="Times New Roman"/>
                <w:sz w:val="28"/>
                <w:szCs w:val="28"/>
              </w:rPr>
              <w:t>городской среды на территории городского поселения Змиевка Свердловского района Орловской области в 2019-2024 годах»</w:t>
            </w:r>
          </w:p>
        </w:tc>
      </w:tr>
      <w:tr>
        <w:trPr>
          <w:trHeight w:val="1088" w:hRule="atLeast"/>
        </w:trPr>
        <w:tc>
          <w:tcPr>
            <w:tcW w:w="918" w:type="dxa"/>
            <w:tcBorders/>
            <w:shd w:fill="auto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Norma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7107" w:type="dxa"/>
            <w:gridSpan w:val="8"/>
            <w:tcBorders/>
            <w:shd w:fill="auto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Нормативная стоимость (единичные расценки) работ по благоустройству дворовых территорий, входящих в минимальный перечень</w:t>
            </w:r>
          </w:p>
        </w:tc>
        <w:tc>
          <w:tcPr>
            <w:tcW w:w="1220" w:type="dxa"/>
            <w:tcBorders/>
            <w:shd w:fill="auto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Norma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255" w:hRule="atLeast"/>
        </w:trPr>
        <w:tc>
          <w:tcPr>
            <w:tcW w:w="918" w:type="dxa"/>
            <w:tcBorders/>
            <w:shd w:fill="auto" w:val="clear"/>
            <w:tcMar>
              <w:top w:w="0" w:type="dxa"/>
              <w:bottom w:w="0" w:type="dxa"/>
            </w:tcMar>
            <w:vAlign w:val="bottom"/>
          </w:tcPr>
          <w:p>
            <w:pPr>
              <w:pStyle w:val="Norma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962" w:type="dxa"/>
            <w:tcBorders/>
            <w:shd w:fill="auto" w:val="clear"/>
            <w:tcMar>
              <w:top w:w="0" w:type="dxa"/>
              <w:bottom w:w="0" w:type="dxa"/>
            </w:tcMar>
            <w:vAlign w:val="bottom"/>
          </w:tcPr>
          <w:p>
            <w:pPr>
              <w:pStyle w:val="Norma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964" w:type="dxa"/>
            <w:tcBorders/>
            <w:shd w:fill="auto" w:val="clear"/>
            <w:tcMar>
              <w:top w:w="0" w:type="dxa"/>
              <w:bottom w:w="0" w:type="dxa"/>
            </w:tcMar>
            <w:vAlign w:val="bottom"/>
          </w:tcPr>
          <w:p>
            <w:pPr>
              <w:pStyle w:val="Norma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957" w:type="dxa"/>
            <w:tcBorders/>
            <w:shd w:fill="auto" w:val="clear"/>
            <w:tcMar>
              <w:top w:w="0" w:type="dxa"/>
              <w:bottom w:w="0" w:type="dxa"/>
            </w:tcMar>
            <w:vAlign w:val="bottom"/>
          </w:tcPr>
          <w:p>
            <w:pPr>
              <w:pStyle w:val="Norma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459" w:type="dxa"/>
            <w:tcBorders/>
            <w:shd w:fill="auto" w:val="clear"/>
            <w:tcMar>
              <w:top w:w="0" w:type="dxa"/>
              <w:bottom w:w="0" w:type="dxa"/>
            </w:tcMar>
            <w:vAlign w:val="bottom"/>
          </w:tcPr>
          <w:p>
            <w:pPr>
              <w:pStyle w:val="Norma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948" w:type="dxa"/>
            <w:tcBorders/>
            <w:shd w:fill="auto" w:val="clear"/>
            <w:tcMar>
              <w:top w:w="0" w:type="dxa"/>
              <w:bottom w:w="0" w:type="dxa"/>
            </w:tcMar>
            <w:vAlign w:val="bottom"/>
          </w:tcPr>
          <w:p>
            <w:pPr>
              <w:pStyle w:val="Norma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863" w:type="dxa"/>
            <w:tcBorders/>
            <w:shd w:fill="auto" w:val="clear"/>
            <w:tcMar>
              <w:top w:w="0" w:type="dxa"/>
              <w:bottom w:w="0" w:type="dxa"/>
            </w:tcMar>
            <w:vAlign w:val="bottom"/>
          </w:tcPr>
          <w:p>
            <w:pPr>
              <w:pStyle w:val="Norma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954" w:type="dxa"/>
            <w:gridSpan w:val="2"/>
            <w:tcBorders/>
            <w:shd w:fill="auto" w:val="clear"/>
            <w:tcMar>
              <w:top w:w="0" w:type="dxa"/>
              <w:bottom w:w="0" w:type="dxa"/>
            </w:tcMar>
            <w:vAlign w:val="bottom"/>
          </w:tcPr>
          <w:p>
            <w:pPr>
              <w:pStyle w:val="Norma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220" w:type="dxa"/>
            <w:tcBorders/>
            <w:shd w:fill="auto" w:val="clear"/>
            <w:tcMar>
              <w:top w:w="0" w:type="dxa"/>
              <w:bottom w:w="0" w:type="dxa"/>
            </w:tcMar>
            <w:vAlign w:val="bottom"/>
          </w:tcPr>
          <w:p>
            <w:pPr>
              <w:pStyle w:val="Norma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375" w:hRule="atLeast"/>
        </w:trPr>
        <w:tc>
          <w:tcPr>
            <w:tcW w:w="9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0" w:type="dxa"/>
              <w:left w:w="68" w:type="dxa"/>
              <w:bottom w:w="0" w:type="dxa"/>
            </w:tcMar>
            <w:vAlign w:val="bottom"/>
          </w:tcPr>
          <w:p>
            <w:pPr>
              <w:pStyle w:val="Normal"/>
              <w:widowControl/>
              <w:rPr/>
            </w:pPr>
            <w:r>
              <w:rPr>
                <w:rFonts w:cs="Times New Roman" w:ascii="Times New Roman" w:hAnsi="Times New Roman"/>
                <w:bCs/>
                <w:sz w:val="28"/>
                <w:szCs w:val="28"/>
              </w:rPr>
              <w:t xml:space="preserve">№ </w:t>
            </w:r>
            <w:r>
              <w:rPr>
                <w:rFonts w:cs="Times New Roman" w:ascii="Times New Roman" w:hAnsi="Times New Roman"/>
                <w:bCs/>
                <w:sz w:val="28"/>
                <w:szCs w:val="28"/>
              </w:rPr>
              <w:t>п/п</w:t>
            </w:r>
          </w:p>
        </w:tc>
        <w:tc>
          <w:tcPr>
            <w:tcW w:w="4342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0" w:type="dxa"/>
              <w:left w:w="73" w:type="dxa"/>
              <w:bottom w:w="0" w:type="dxa"/>
            </w:tcMar>
            <w:vAlign w:val="bottom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  <w:bCs/>
                <w:sz w:val="28"/>
                <w:szCs w:val="28"/>
              </w:rPr>
              <w:t>Наименование работ</w:t>
            </w:r>
          </w:p>
        </w:tc>
        <w:tc>
          <w:tcPr>
            <w:tcW w:w="181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0" w:type="dxa"/>
              <w:left w:w="73" w:type="dxa"/>
              <w:bottom w:w="0" w:type="dxa"/>
            </w:tcMar>
            <w:vAlign w:val="bottom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  <w:bCs/>
                <w:sz w:val="28"/>
                <w:szCs w:val="28"/>
              </w:rPr>
              <w:t>Ед. измерения</w:t>
            </w:r>
          </w:p>
        </w:tc>
        <w:tc>
          <w:tcPr>
            <w:tcW w:w="217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0" w:type="dxa"/>
              <w:left w:w="73" w:type="dxa"/>
              <w:bottom w:w="0" w:type="dxa"/>
            </w:tcMar>
            <w:vAlign w:val="bottom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  <w:bCs/>
                <w:sz w:val="28"/>
                <w:szCs w:val="28"/>
              </w:rPr>
              <w:t>Цена с НДС, руб</w:t>
            </w:r>
          </w:p>
        </w:tc>
      </w:tr>
      <w:tr>
        <w:trPr>
          <w:trHeight w:val="300" w:hRule="atLeast"/>
        </w:trPr>
        <w:tc>
          <w:tcPr>
            <w:tcW w:w="9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0" w:type="dxa"/>
              <w:left w:w="68" w:type="dxa"/>
              <w:bottom w:w="0" w:type="dxa"/>
            </w:tcMar>
            <w:vAlign w:val="bottom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342" w:type="dxa"/>
            <w:gridSpan w:val="4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top w:w="0" w:type="dxa"/>
              <w:bottom w:w="0" w:type="dxa"/>
            </w:tcMar>
            <w:vAlign w:val="bottom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81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top w:w="0" w:type="dxa"/>
              <w:left w:w="68" w:type="dxa"/>
              <w:bottom w:w="0" w:type="dxa"/>
            </w:tcMar>
            <w:vAlign w:val="bottom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17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0" w:type="dxa"/>
              <w:left w:w="68" w:type="dxa"/>
              <w:bottom w:w="0" w:type="dxa"/>
            </w:tcMar>
            <w:vAlign w:val="bottom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4</w:t>
            </w:r>
          </w:p>
        </w:tc>
      </w:tr>
      <w:tr>
        <w:trPr>
          <w:trHeight w:val="630" w:hRule="atLeast"/>
        </w:trPr>
        <w:tc>
          <w:tcPr>
            <w:tcW w:w="9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0" w:type="dxa"/>
              <w:left w:w="68" w:type="dxa"/>
              <w:bottom w:w="0" w:type="dxa"/>
            </w:tcMar>
            <w:vAlign w:val="bottom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342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0" w:type="dxa"/>
              <w:left w:w="73" w:type="dxa"/>
              <w:bottom w:w="0" w:type="dxa"/>
            </w:tcMar>
            <w:vAlign w:val="bottom"/>
          </w:tcPr>
          <w:p>
            <w:pPr>
              <w:pStyle w:val="Normal"/>
              <w:widowControl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Демонтаж бортового камня БР 100.30.15 с отвозкой на 10 км</w:t>
            </w:r>
          </w:p>
        </w:tc>
        <w:tc>
          <w:tcPr>
            <w:tcW w:w="181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0" w:type="dxa"/>
              <w:left w:w="73" w:type="dxa"/>
              <w:bottom w:w="0" w:type="dxa"/>
            </w:tcMar>
            <w:vAlign w:val="bottom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м</w:t>
            </w:r>
          </w:p>
        </w:tc>
        <w:tc>
          <w:tcPr>
            <w:tcW w:w="217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0" w:type="dxa"/>
              <w:left w:w="73" w:type="dxa"/>
              <w:bottom w:w="0" w:type="dxa"/>
            </w:tcMar>
            <w:vAlign w:val="bottom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199,00</w:t>
            </w:r>
          </w:p>
        </w:tc>
      </w:tr>
      <w:tr>
        <w:trPr>
          <w:trHeight w:val="585" w:hRule="atLeast"/>
        </w:trPr>
        <w:tc>
          <w:tcPr>
            <w:tcW w:w="9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0" w:type="dxa"/>
              <w:left w:w="68" w:type="dxa"/>
              <w:bottom w:w="0" w:type="dxa"/>
            </w:tcMar>
            <w:vAlign w:val="bottom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342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0" w:type="dxa"/>
              <w:left w:w="73" w:type="dxa"/>
              <w:bottom w:w="0" w:type="dxa"/>
            </w:tcMar>
            <w:vAlign w:val="bottom"/>
          </w:tcPr>
          <w:p>
            <w:pPr>
              <w:pStyle w:val="Normal"/>
              <w:widowControl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Демонтаж бортового камня БР 100.20.8 с отвозкой на 10 км</w:t>
            </w:r>
          </w:p>
        </w:tc>
        <w:tc>
          <w:tcPr>
            <w:tcW w:w="181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0" w:type="dxa"/>
              <w:left w:w="73" w:type="dxa"/>
              <w:bottom w:w="0" w:type="dxa"/>
            </w:tcMar>
            <w:vAlign w:val="bottom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м</w:t>
            </w:r>
          </w:p>
        </w:tc>
        <w:tc>
          <w:tcPr>
            <w:tcW w:w="217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0" w:type="dxa"/>
              <w:left w:w="73" w:type="dxa"/>
              <w:bottom w:w="0" w:type="dxa"/>
            </w:tcMar>
            <w:vAlign w:val="bottom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191,00</w:t>
            </w:r>
          </w:p>
        </w:tc>
      </w:tr>
      <w:tr>
        <w:trPr>
          <w:trHeight w:val="540" w:hRule="atLeast"/>
        </w:trPr>
        <w:tc>
          <w:tcPr>
            <w:tcW w:w="9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0" w:type="dxa"/>
              <w:left w:w="68" w:type="dxa"/>
              <w:bottom w:w="0" w:type="dxa"/>
            </w:tcMar>
            <w:vAlign w:val="bottom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342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0" w:type="dxa"/>
              <w:left w:w="73" w:type="dxa"/>
              <w:bottom w:w="0" w:type="dxa"/>
            </w:tcMar>
            <w:vAlign w:val="bottom"/>
          </w:tcPr>
          <w:p>
            <w:pPr>
              <w:pStyle w:val="Normal"/>
              <w:widowControl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Монтаж бортового камня БР 100.30.15 </w:t>
            </w:r>
          </w:p>
        </w:tc>
        <w:tc>
          <w:tcPr>
            <w:tcW w:w="181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0" w:type="dxa"/>
              <w:left w:w="73" w:type="dxa"/>
              <w:bottom w:w="0" w:type="dxa"/>
            </w:tcMar>
            <w:vAlign w:val="bottom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м</w:t>
            </w:r>
          </w:p>
        </w:tc>
        <w:tc>
          <w:tcPr>
            <w:tcW w:w="217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0" w:type="dxa"/>
              <w:left w:w="73" w:type="dxa"/>
              <w:bottom w:w="0" w:type="dxa"/>
            </w:tcMar>
            <w:vAlign w:val="bottom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906,00</w:t>
            </w:r>
          </w:p>
        </w:tc>
      </w:tr>
      <w:tr>
        <w:trPr>
          <w:trHeight w:val="525" w:hRule="atLeast"/>
        </w:trPr>
        <w:tc>
          <w:tcPr>
            <w:tcW w:w="9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0" w:type="dxa"/>
              <w:left w:w="68" w:type="dxa"/>
              <w:bottom w:w="0" w:type="dxa"/>
            </w:tcMar>
            <w:vAlign w:val="bottom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342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0" w:type="dxa"/>
              <w:left w:w="73" w:type="dxa"/>
              <w:bottom w:w="0" w:type="dxa"/>
            </w:tcMar>
            <w:vAlign w:val="bottom"/>
          </w:tcPr>
          <w:p>
            <w:pPr>
              <w:pStyle w:val="Normal"/>
              <w:widowControl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Монтаж бортового камня БР 100.20.8 </w:t>
            </w:r>
          </w:p>
        </w:tc>
        <w:tc>
          <w:tcPr>
            <w:tcW w:w="181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0" w:type="dxa"/>
              <w:left w:w="73" w:type="dxa"/>
              <w:bottom w:w="0" w:type="dxa"/>
            </w:tcMar>
            <w:vAlign w:val="bottom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м</w:t>
            </w:r>
          </w:p>
        </w:tc>
        <w:tc>
          <w:tcPr>
            <w:tcW w:w="217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0" w:type="dxa"/>
              <w:left w:w="73" w:type="dxa"/>
              <w:bottom w:w="0" w:type="dxa"/>
            </w:tcMar>
            <w:vAlign w:val="bottom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559,00</w:t>
            </w:r>
          </w:p>
        </w:tc>
      </w:tr>
      <w:tr>
        <w:trPr>
          <w:trHeight w:val="855" w:hRule="atLeast"/>
        </w:trPr>
        <w:tc>
          <w:tcPr>
            <w:tcW w:w="9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0" w:type="dxa"/>
              <w:left w:w="68" w:type="dxa"/>
              <w:bottom w:w="0" w:type="dxa"/>
            </w:tcMar>
            <w:vAlign w:val="bottom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342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0" w:type="dxa"/>
              <w:left w:w="73" w:type="dxa"/>
              <w:bottom w:w="0" w:type="dxa"/>
            </w:tcMar>
            <w:vAlign w:val="bottom"/>
          </w:tcPr>
          <w:p>
            <w:pPr>
              <w:pStyle w:val="Normal"/>
              <w:widowControl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Выравнивающий слой из асфальтобетона толщиной 3 см с розливом битума</w:t>
            </w:r>
          </w:p>
        </w:tc>
        <w:tc>
          <w:tcPr>
            <w:tcW w:w="181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0" w:type="dxa"/>
              <w:left w:w="73" w:type="dxa"/>
              <w:bottom w:w="0" w:type="dxa"/>
            </w:tcMar>
            <w:vAlign w:val="bottom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т</w:t>
            </w:r>
          </w:p>
        </w:tc>
        <w:tc>
          <w:tcPr>
            <w:tcW w:w="217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0" w:type="dxa"/>
              <w:left w:w="73" w:type="dxa"/>
              <w:bottom w:w="0" w:type="dxa"/>
            </w:tcMar>
            <w:vAlign w:val="bottom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4684,00</w:t>
            </w:r>
          </w:p>
        </w:tc>
      </w:tr>
      <w:tr>
        <w:trPr>
          <w:trHeight w:val="795" w:hRule="atLeast"/>
        </w:trPr>
        <w:tc>
          <w:tcPr>
            <w:tcW w:w="9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0" w:type="dxa"/>
              <w:left w:w="68" w:type="dxa"/>
              <w:bottom w:w="0" w:type="dxa"/>
            </w:tcMar>
            <w:vAlign w:val="bottom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342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0" w:type="dxa"/>
              <w:left w:w="73" w:type="dxa"/>
              <w:bottom w:w="0" w:type="dxa"/>
            </w:tcMar>
            <w:vAlign w:val="bottom"/>
          </w:tcPr>
          <w:p>
            <w:pPr>
              <w:pStyle w:val="Normal"/>
              <w:widowControl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Покрытие из асфальтобетона марка II, тип Г  толщиной 5 см с розливом (покрытие дороги)</w:t>
            </w:r>
          </w:p>
        </w:tc>
        <w:tc>
          <w:tcPr>
            <w:tcW w:w="181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0" w:type="dxa"/>
              <w:left w:w="73" w:type="dxa"/>
              <w:bottom w:w="0" w:type="dxa"/>
            </w:tcMar>
            <w:vAlign w:val="bottom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м2</w:t>
            </w:r>
          </w:p>
        </w:tc>
        <w:tc>
          <w:tcPr>
            <w:tcW w:w="217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0" w:type="dxa"/>
              <w:left w:w="73" w:type="dxa"/>
              <w:bottom w:w="0" w:type="dxa"/>
            </w:tcMar>
            <w:vAlign w:val="bottom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530,00</w:t>
            </w:r>
          </w:p>
        </w:tc>
      </w:tr>
      <w:tr>
        <w:trPr>
          <w:trHeight w:val="825" w:hRule="atLeast"/>
        </w:trPr>
        <w:tc>
          <w:tcPr>
            <w:tcW w:w="9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0" w:type="dxa"/>
              <w:left w:w="68" w:type="dxa"/>
              <w:bottom w:w="0" w:type="dxa"/>
            </w:tcMar>
            <w:vAlign w:val="bottom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342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0" w:type="dxa"/>
              <w:left w:w="73" w:type="dxa"/>
              <w:bottom w:w="0" w:type="dxa"/>
            </w:tcMar>
            <w:vAlign w:val="bottom"/>
          </w:tcPr>
          <w:p>
            <w:pPr>
              <w:pStyle w:val="Normal"/>
              <w:widowControl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Покрытие из асфальтобетона марка II, тип Г  толщиной 4 см с розливом (покрытие тротуара)</w:t>
            </w:r>
          </w:p>
        </w:tc>
        <w:tc>
          <w:tcPr>
            <w:tcW w:w="181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0" w:type="dxa"/>
              <w:left w:w="73" w:type="dxa"/>
              <w:bottom w:w="0" w:type="dxa"/>
            </w:tcMar>
            <w:vAlign w:val="bottom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м2</w:t>
            </w:r>
          </w:p>
        </w:tc>
        <w:tc>
          <w:tcPr>
            <w:tcW w:w="217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0" w:type="dxa"/>
              <w:left w:w="73" w:type="dxa"/>
              <w:bottom w:w="0" w:type="dxa"/>
            </w:tcMar>
            <w:vAlign w:val="bottom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461,00</w:t>
            </w:r>
          </w:p>
        </w:tc>
      </w:tr>
      <w:tr>
        <w:trPr>
          <w:trHeight w:val="825" w:hRule="atLeast"/>
        </w:trPr>
        <w:tc>
          <w:tcPr>
            <w:tcW w:w="9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0" w:type="dxa"/>
              <w:left w:w="68" w:type="dxa"/>
              <w:bottom w:w="0" w:type="dxa"/>
            </w:tcMar>
            <w:vAlign w:val="bottom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4342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0" w:type="dxa"/>
              <w:left w:w="73" w:type="dxa"/>
              <w:bottom w:w="0" w:type="dxa"/>
            </w:tcMar>
            <w:vAlign w:val="bottom"/>
          </w:tcPr>
          <w:p>
            <w:pPr>
              <w:pStyle w:val="Normal"/>
              <w:widowControl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Ямочный ремонт площадью до 5 м2 толщиной 5 см, асфальтобетон тип Г, марка II</w:t>
            </w:r>
          </w:p>
        </w:tc>
        <w:tc>
          <w:tcPr>
            <w:tcW w:w="181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0" w:type="dxa"/>
              <w:left w:w="73" w:type="dxa"/>
              <w:bottom w:w="0" w:type="dxa"/>
            </w:tcMar>
            <w:vAlign w:val="bottom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м2</w:t>
            </w:r>
          </w:p>
        </w:tc>
        <w:tc>
          <w:tcPr>
            <w:tcW w:w="217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0" w:type="dxa"/>
              <w:left w:w="73" w:type="dxa"/>
              <w:bottom w:w="0" w:type="dxa"/>
            </w:tcMar>
            <w:vAlign w:val="bottom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735,00</w:t>
            </w:r>
          </w:p>
        </w:tc>
      </w:tr>
      <w:tr>
        <w:trPr>
          <w:trHeight w:val="495" w:hRule="atLeast"/>
        </w:trPr>
        <w:tc>
          <w:tcPr>
            <w:tcW w:w="9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0" w:type="dxa"/>
              <w:left w:w="68" w:type="dxa"/>
              <w:bottom w:w="0" w:type="dxa"/>
            </w:tcMar>
            <w:vAlign w:val="bottom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4342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0" w:type="dxa"/>
              <w:left w:w="73" w:type="dxa"/>
              <w:bottom w:w="0" w:type="dxa"/>
            </w:tcMar>
            <w:vAlign w:val="bottom"/>
          </w:tcPr>
          <w:p>
            <w:pPr>
              <w:pStyle w:val="Normal"/>
              <w:widowControl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Засыпка ям щебнем М800 фр.10-20 мм</w:t>
            </w:r>
          </w:p>
        </w:tc>
        <w:tc>
          <w:tcPr>
            <w:tcW w:w="181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0" w:type="dxa"/>
              <w:left w:w="73" w:type="dxa"/>
              <w:bottom w:w="0" w:type="dxa"/>
            </w:tcMar>
            <w:vAlign w:val="bottom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м3</w:t>
            </w:r>
          </w:p>
        </w:tc>
        <w:tc>
          <w:tcPr>
            <w:tcW w:w="217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0" w:type="dxa"/>
              <w:left w:w="73" w:type="dxa"/>
              <w:bottom w:w="0" w:type="dxa"/>
            </w:tcMar>
            <w:vAlign w:val="bottom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1506,00</w:t>
            </w:r>
          </w:p>
        </w:tc>
      </w:tr>
      <w:tr>
        <w:trPr>
          <w:trHeight w:val="405" w:hRule="atLeast"/>
        </w:trPr>
        <w:tc>
          <w:tcPr>
            <w:tcW w:w="9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0" w:type="dxa"/>
              <w:left w:w="68" w:type="dxa"/>
              <w:bottom w:w="0" w:type="dxa"/>
            </w:tcMar>
            <w:vAlign w:val="bottom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4342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0" w:type="dxa"/>
              <w:left w:w="73" w:type="dxa"/>
              <w:bottom w:w="0" w:type="dxa"/>
            </w:tcMar>
            <w:vAlign w:val="bottom"/>
          </w:tcPr>
          <w:p>
            <w:pPr>
              <w:pStyle w:val="Normal"/>
              <w:widowControl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Подстилающий слой из песка</w:t>
            </w:r>
          </w:p>
        </w:tc>
        <w:tc>
          <w:tcPr>
            <w:tcW w:w="181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0" w:type="dxa"/>
              <w:left w:w="73" w:type="dxa"/>
              <w:bottom w:w="0" w:type="dxa"/>
            </w:tcMar>
            <w:vAlign w:val="bottom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м3</w:t>
            </w:r>
          </w:p>
        </w:tc>
        <w:tc>
          <w:tcPr>
            <w:tcW w:w="217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0" w:type="dxa"/>
              <w:left w:w="73" w:type="dxa"/>
              <w:bottom w:w="0" w:type="dxa"/>
            </w:tcMar>
            <w:vAlign w:val="bottom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633,40</w:t>
            </w:r>
          </w:p>
        </w:tc>
      </w:tr>
      <w:tr>
        <w:trPr>
          <w:trHeight w:val="765" w:hRule="atLeast"/>
        </w:trPr>
        <w:tc>
          <w:tcPr>
            <w:tcW w:w="9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0" w:type="dxa"/>
              <w:left w:w="68" w:type="dxa"/>
              <w:bottom w:w="0" w:type="dxa"/>
            </w:tcMar>
            <w:vAlign w:val="bottom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4342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0" w:type="dxa"/>
              <w:left w:w="73" w:type="dxa"/>
              <w:bottom w:w="0" w:type="dxa"/>
            </w:tcMar>
            <w:vAlign w:val="bottom"/>
          </w:tcPr>
          <w:p>
            <w:pPr>
              <w:pStyle w:val="Normal"/>
              <w:widowControl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Основание дороги из щебня М800 с заклинкой мелким щебнем толщиной 12 см</w:t>
            </w:r>
          </w:p>
        </w:tc>
        <w:tc>
          <w:tcPr>
            <w:tcW w:w="181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0" w:type="dxa"/>
              <w:left w:w="73" w:type="dxa"/>
              <w:bottom w:w="0" w:type="dxa"/>
            </w:tcMar>
            <w:vAlign w:val="bottom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м2</w:t>
            </w:r>
          </w:p>
        </w:tc>
        <w:tc>
          <w:tcPr>
            <w:tcW w:w="217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0" w:type="dxa"/>
              <w:left w:w="73" w:type="dxa"/>
              <w:bottom w:w="0" w:type="dxa"/>
            </w:tcMar>
            <w:vAlign w:val="bottom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176,30</w:t>
            </w:r>
          </w:p>
        </w:tc>
      </w:tr>
      <w:tr>
        <w:trPr>
          <w:trHeight w:val="585" w:hRule="atLeast"/>
        </w:trPr>
        <w:tc>
          <w:tcPr>
            <w:tcW w:w="9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0" w:type="dxa"/>
              <w:left w:w="68" w:type="dxa"/>
              <w:bottom w:w="0" w:type="dxa"/>
            </w:tcMar>
            <w:vAlign w:val="bottom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4342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0" w:type="dxa"/>
              <w:left w:w="73" w:type="dxa"/>
              <w:bottom w:w="0" w:type="dxa"/>
            </w:tcMar>
            <w:vAlign w:val="bottom"/>
          </w:tcPr>
          <w:p>
            <w:pPr>
              <w:pStyle w:val="Normal"/>
              <w:widowControl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Основание тротуара из щебня М600 толщиной 12 см</w:t>
            </w:r>
          </w:p>
        </w:tc>
        <w:tc>
          <w:tcPr>
            <w:tcW w:w="181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0" w:type="dxa"/>
              <w:left w:w="73" w:type="dxa"/>
              <w:bottom w:w="0" w:type="dxa"/>
            </w:tcMar>
            <w:vAlign w:val="bottom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м2</w:t>
            </w:r>
          </w:p>
        </w:tc>
        <w:tc>
          <w:tcPr>
            <w:tcW w:w="217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0" w:type="dxa"/>
              <w:left w:w="73" w:type="dxa"/>
              <w:bottom w:w="0" w:type="dxa"/>
            </w:tcMar>
            <w:vAlign w:val="bottom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264,00</w:t>
            </w:r>
          </w:p>
        </w:tc>
      </w:tr>
      <w:tr>
        <w:trPr>
          <w:trHeight w:val="420" w:hRule="atLeast"/>
        </w:trPr>
        <w:tc>
          <w:tcPr>
            <w:tcW w:w="9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0" w:type="dxa"/>
              <w:left w:w="68" w:type="dxa"/>
              <w:bottom w:w="0" w:type="dxa"/>
            </w:tcMar>
            <w:vAlign w:val="bottom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4342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0" w:type="dxa"/>
              <w:left w:w="73" w:type="dxa"/>
              <w:bottom w:w="0" w:type="dxa"/>
            </w:tcMar>
            <w:vAlign w:val="bottom"/>
          </w:tcPr>
          <w:p>
            <w:pPr>
              <w:pStyle w:val="Normal"/>
              <w:widowControl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Установка светильника</w:t>
            </w:r>
          </w:p>
        </w:tc>
        <w:tc>
          <w:tcPr>
            <w:tcW w:w="181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0" w:type="dxa"/>
              <w:left w:w="73" w:type="dxa"/>
              <w:bottom w:w="0" w:type="dxa"/>
            </w:tcMar>
            <w:vAlign w:val="bottom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шт</w:t>
            </w:r>
          </w:p>
        </w:tc>
        <w:tc>
          <w:tcPr>
            <w:tcW w:w="217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0" w:type="dxa"/>
              <w:left w:w="73" w:type="dxa"/>
              <w:bottom w:w="0" w:type="dxa"/>
            </w:tcMar>
            <w:vAlign w:val="bottom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8366,00</w:t>
            </w:r>
          </w:p>
        </w:tc>
      </w:tr>
      <w:tr>
        <w:trPr>
          <w:trHeight w:val="405" w:hRule="atLeast"/>
        </w:trPr>
        <w:tc>
          <w:tcPr>
            <w:tcW w:w="9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0" w:type="dxa"/>
              <w:left w:w="68" w:type="dxa"/>
              <w:bottom w:w="0" w:type="dxa"/>
            </w:tcMar>
            <w:vAlign w:val="bottom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4342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0" w:type="dxa"/>
              <w:left w:w="73" w:type="dxa"/>
              <w:bottom w:w="0" w:type="dxa"/>
            </w:tcMar>
            <w:vAlign w:val="bottom"/>
          </w:tcPr>
          <w:p>
            <w:pPr>
              <w:pStyle w:val="Normal"/>
              <w:widowControl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Установка скамьи со спинкой</w:t>
            </w:r>
          </w:p>
        </w:tc>
        <w:tc>
          <w:tcPr>
            <w:tcW w:w="181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0" w:type="dxa"/>
              <w:left w:w="73" w:type="dxa"/>
              <w:bottom w:w="0" w:type="dxa"/>
            </w:tcMar>
            <w:vAlign w:val="bottom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шт</w:t>
            </w:r>
          </w:p>
        </w:tc>
        <w:tc>
          <w:tcPr>
            <w:tcW w:w="217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0" w:type="dxa"/>
              <w:left w:w="73" w:type="dxa"/>
              <w:bottom w:w="0" w:type="dxa"/>
            </w:tcMar>
            <w:vAlign w:val="bottom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7805,00</w:t>
            </w:r>
          </w:p>
        </w:tc>
      </w:tr>
      <w:tr>
        <w:trPr>
          <w:trHeight w:val="390" w:hRule="atLeast"/>
        </w:trPr>
        <w:tc>
          <w:tcPr>
            <w:tcW w:w="9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0" w:type="dxa"/>
              <w:left w:w="68" w:type="dxa"/>
              <w:bottom w:w="0" w:type="dxa"/>
            </w:tcMar>
            <w:vAlign w:val="bottom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4342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0" w:type="dxa"/>
              <w:left w:w="73" w:type="dxa"/>
              <w:bottom w:w="0" w:type="dxa"/>
            </w:tcMar>
            <w:vAlign w:val="bottom"/>
          </w:tcPr>
          <w:p>
            <w:pPr>
              <w:pStyle w:val="Normal"/>
              <w:widowControl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Установка урны металлической</w:t>
            </w:r>
          </w:p>
        </w:tc>
        <w:tc>
          <w:tcPr>
            <w:tcW w:w="181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0" w:type="dxa"/>
              <w:left w:w="73" w:type="dxa"/>
              <w:bottom w:w="0" w:type="dxa"/>
            </w:tcMar>
            <w:vAlign w:val="bottom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шт</w:t>
            </w:r>
          </w:p>
        </w:tc>
        <w:tc>
          <w:tcPr>
            <w:tcW w:w="217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top w:w="0" w:type="dxa"/>
              <w:left w:w="73" w:type="dxa"/>
              <w:bottom w:w="0" w:type="dxa"/>
            </w:tcMar>
            <w:vAlign w:val="bottom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4547,00</w:t>
            </w:r>
          </w:p>
        </w:tc>
      </w:tr>
      <w:tr>
        <w:trPr>
          <w:trHeight w:val="255" w:hRule="atLeast"/>
        </w:trPr>
        <w:tc>
          <w:tcPr>
            <w:tcW w:w="918" w:type="dxa"/>
            <w:tcBorders/>
            <w:shd w:fill="auto" w:val="clear"/>
            <w:tcMar>
              <w:top w:w="0" w:type="dxa"/>
              <w:bottom w:w="0" w:type="dxa"/>
            </w:tcMar>
            <w:vAlign w:val="bottom"/>
          </w:tcPr>
          <w:p>
            <w:pPr>
              <w:pStyle w:val="Norma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962" w:type="dxa"/>
            <w:tcBorders/>
            <w:shd w:fill="auto" w:val="clear"/>
            <w:tcMar>
              <w:top w:w="0" w:type="dxa"/>
              <w:bottom w:w="0" w:type="dxa"/>
            </w:tcMar>
            <w:vAlign w:val="bottom"/>
          </w:tcPr>
          <w:p>
            <w:pPr>
              <w:pStyle w:val="Norma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964" w:type="dxa"/>
            <w:tcBorders/>
            <w:shd w:fill="auto" w:val="clear"/>
            <w:tcMar>
              <w:top w:w="0" w:type="dxa"/>
              <w:bottom w:w="0" w:type="dxa"/>
            </w:tcMar>
            <w:vAlign w:val="bottom"/>
          </w:tcPr>
          <w:p>
            <w:pPr>
              <w:pStyle w:val="Norma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957" w:type="dxa"/>
            <w:tcBorders/>
            <w:shd w:fill="auto" w:val="clear"/>
            <w:tcMar>
              <w:top w:w="0" w:type="dxa"/>
              <w:bottom w:w="0" w:type="dxa"/>
            </w:tcMar>
            <w:vAlign w:val="bottom"/>
          </w:tcPr>
          <w:p>
            <w:pPr>
              <w:pStyle w:val="Norma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459" w:type="dxa"/>
            <w:tcBorders/>
            <w:shd w:fill="auto" w:val="clear"/>
            <w:tcMar>
              <w:top w:w="0" w:type="dxa"/>
              <w:bottom w:w="0" w:type="dxa"/>
            </w:tcMar>
            <w:vAlign w:val="bottom"/>
          </w:tcPr>
          <w:p>
            <w:pPr>
              <w:pStyle w:val="Norma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948" w:type="dxa"/>
            <w:tcBorders/>
            <w:shd w:fill="auto" w:val="clear"/>
            <w:tcMar>
              <w:top w:w="0" w:type="dxa"/>
              <w:bottom w:w="0" w:type="dxa"/>
            </w:tcMar>
            <w:vAlign w:val="bottom"/>
          </w:tcPr>
          <w:p>
            <w:pPr>
              <w:pStyle w:val="Norma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863" w:type="dxa"/>
            <w:tcBorders/>
            <w:shd w:fill="auto" w:val="clear"/>
            <w:tcMar>
              <w:top w:w="0" w:type="dxa"/>
              <w:bottom w:w="0" w:type="dxa"/>
            </w:tcMar>
            <w:vAlign w:val="bottom"/>
          </w:tcPr>
          <w:p>
            <w:pPr>
              <w:pStyle w:val="Norma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954" w:type="dxa"/>
            <w:gridSpan w:val="2"/>
            <w:tcBorders/>
            <w:shd w:fill="auto" w:val="clear"/>
            <w:tcMar>
              <w:top w:w="0" w:type="dxa"/>
              <w:bottom w:w="0" w:type="dxa"/>
            </w:tcMar>
            <w:vAlign w:val="bottom"/>
          </w:tcPr>
          <w:p>
            <w:pPr>
              <w:pStyle w:val="Norma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220" w:type="dxa"/>
            <w:tcBorders/>
            <w:shd w:fill="auto" w:val="clear"/>
            <w:tcMar>
              <w:top w:w="0" w:type="dxa"/>
              <w:bottom w:w="0" w:type="dxa"/>
            </w:tcMar>
            <w:vAlign w:val="bottom"/>
          </w:tcPr>
          <w:p>
            <w:pPr>
              <w:pStyle w:val="Norma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80" w:hRule="atLeast"/>
        </w:trPr>
        <w:tc>
          <w:tcPr>
            <w:tcW w:w="9245" w:type="dxa"/>
            <w:gridSpan w:val="10"/>
            <w:tcBorders/>
            <w:shd w:fill="auto" w:val="clear"/>
            <w:tcMar>
              <w:top w:w="0" w:type="dxa"/>
              <w:bottom w:w="0" w:type="dxa"/>
            </w:tcMar>
          </w:tcPr>
          <w:p>
            <w:pPr>
              <w:pStyle w:val="Norma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</w:tbl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tbl>
      <w:tblPr>
        <w:tblW w:w="9465" w:type="dxa"/>
        <w:jc w:val="left"/>
        <w:tblInd w:w="-14" w:type="dxa"/>
        <w:tblBorders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38"/>
        <w:gridCol w:w="5441"/>
        <w:gridCol w:w="1031"/>
        <w:gridCol w:w="1126"/>
        <w:gridCol w:w="1429"/>
      </w:tblGrid>
      <w:tr>
        <w:trPr>
          <w:trHeight w:val="2149" w:hRule="atLeast"/>
        </w:trPr>
        <w:tc>
          <w:tcPr>
            <w:tcW w:w="438" w:type="dxa"/>
            <w:tcBorders/>
            <w:shd w:fill="auto" w:val="clear"/>
            <w:vAlign w:val="bottom"/>
          </w:tcPr>
          <w:p>
            <w:pPr>
              <w:pStyle w:val="Norma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441" w:type="dxa"/>
            <w:tcBorders/>
            <w:shd w:fill="auto" w:val="clear"/>
            <w:vAlign w:val="bottom"/>
          </w:tcPr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3586" w:type="dxa"/>
            <w:gridSpan w:val="3"/>
            <w:tcBorders/>
            <w:shd w:fill="auto" w:val="clear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Приложение 4</w:t>
            </w:r>
            <w:r>
              <w:rPr/>
              <w:br/>
            </w: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к муниципальной программе «Формирование современной городской среды на территории городского поселения  Змиевка Свердловского района Орловской области  </w:t>
            </w:r>
          </w:p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в 2019-2024 годах»</w:t>
            </w:r>
            <w:r>
              <w:rPr/>
              <w:br/>
            </w:r>
          </w:p>
          <w:p>
            <w:pPr>
              <w:pStyle w:val="Norma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1223" w:hRule="atLeast"/>
        </w:trPr>
        <w:tc>
          <w:tcPr>
            <w:tcW w:w="9465" w:type="dxa"/>
            <w:gridSpan w:val="5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Нормативная стоимость (единичные расценки) работ по благоустройству дворовых территорий, входящих в дополнительный перечень</w:t>
            </w:r>
          </w:p>
        </w:tc>
      </w:tr>
      <w:tr>
        <w:trPr>
          <w:trHeight w:val="1785" w:hRule="atLeast"/>
        </w:trPr>
        <w:tc>
          <w:tcPr>
            <w:tcW w:w="4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  <w:vAlign w:val="center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№ 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п/п</w:t>
            </w:r>
          </w:p>
        </w:tc>
        <w:tc>
          <w:tcPr>
            <w:tcW w:w="54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  <w:vAlign w:val="center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Наименование работ</w:t>
            </w:r>
          </w:p>
        </w:tc>
        <w:tc>
          <w:tcPr>
            <w:tcW w:w="10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  <w:vAlign w:val="center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1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  <w:vAlign w:val="center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Количество</w:t>
            </w:r>
          </w:p>
        </w:tc>
        <w:tc>
          <w:tcPr>
            <w:tcW w:w="14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  <w:vAlign w:val="center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Стоимость с НДС в  руб.</w:t>
            </w:r>
          </w:p>
        </w:tc>
      </w:tr>
      <w:tr>
        <w:trPr>
          <w:trHeight w:val="1523" w:hRule="atLeast"/>
        </w:trPr>
        <w:tc>
          <w:tcPr>
            <w:tcW w:w="4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  <w:vAlign w:val="bottom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4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73" w:type="dxa"/>
            </w:tcMar>
            <w:vAlign w:val="bottom"/>
          </w:tcPr>
          <w:p>
            <w:pPr>
              <w:pStyle w:val="Normal"/>
              <w:widowControl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Установка детского спортивного оборудования (минимальный набор:горка,качели,карусель,песочница,турники,гимнастическая лестница) по прайс-листам:</w:t>
            </w:r>
          </w:p>
        </w:tc>
        <w:tc>
          <w:tcPr>
            <w:tcW w:w="10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  <w:vAlign w:val="bottom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мин.набор</w:t>
            </w:r>
          </w:p>
        </w:tc>
        <w:tc>
          <w:tcPr>
            <w:tcW w:w="1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  <w:vAlign w:val="bottom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  <w:vAlign w:val="bottom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616350,00</w:t>
            </w:r>
          </w:p>
        </w:tc>
      </w:tr>
      <w:tr>
        <w:trPr>
          <w:trHeight w:val="930" w:hRule="atLeast"/>
        </w:trPr>
        <w:tc>
          <w:tcPr>
            <w:tcW w:w="4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  <w:vAlign w:val="bottom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4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73" w:type="dxa"/>
            </w:tcMar>
            <w:vAlign w:val="bottom"/>
          </w:tcPr>
          <w:p>
            <w:pPr>
              <w:pStyle w:val="Normal"/>
              <w:widowControl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Устройство покрытия из резины с подготовкой и основанием из бетона </w:t>
            </w:r>
          </w:p>
        </w:tc>
        <w:tc>
          <w:tcPr>
            <w:tcW w:w="10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  <w:vAlign w:val="bottom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м2</w:t>
            </w:r>
          </w:p>
        </w:tc>
        <w:tc>
          <w:tcPr>
            <w:tcW w:w="1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  <w:vAlign w:val="bottom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  <w:vAlign w:val="bottom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3007,00</w:t>
            </w:r>
          </w:p>
        </w:tc>
      </w:tr>
      <w:tr>
        <w:trPr>
          <w:trHeight w:val="630" w:hRule="atLeast"/>
        </w:trPr>
        <w:tc>
          <w:tcPr>
            <w:tcW w:w="4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  <w:vAlign w:val="bottom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</w:rPr>
              <w:t>3</w:t>
            </w:r>
          </w:p>
        </w:tc>
        <w:tc>
          <w:tcPr>
            <w:tcW w:w="54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73" w:type="dxa"/>
            </w:tcMar>
            <w:vAlign w:val="bottom"/>
          </w:tcPr>
          <w:p>
            <w:pPr>
              <w:pStyle w:val="Normal"/>
              <w:widowControl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Засыпка грунтом толщиной 15 см с посевом газонных трав </w:t>
            </w:r>
          </w:p>
        </w:tc>
        <w:tc>
          <w:tcPr>
            <w:tcW w:w="10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  <w:vAlign w:val="bottom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</w:rPr>
              <w:t>м2</w:t>
            </w:r>
          </w:p>
        </w:tc>
        <w:tc>
          <w:tcPr>
            <w:tcW w:w="1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  <w:vAlign w:val="bottom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</w:rPr>
              <w:t>1</w:t>
            </w:r>
          </w:p>
        </w:tc>
        <w:tc>
          <w:tcPr>
            <w:tcW w:w="14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  <w:vAlign w:val="bottom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</w:rPr>
              <w:t>300,00</w:t>
            </w:r>
          </w:p>
        </w:tc>
      </w:tr>
      <w:tr>
        <w:trPr>
          <w:trHeight w:val="645" w:hRule="atLeast"/>
        </w:trPr>
        <w:tc>
          <w:tcPr>
            <w:tcW w:w="4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  <w:vAlign w:val="bottom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</w:rPr>
              <w:t>4</w:t>
            </w:r>
          </w:p>
        </w:tc>
        <w:tc>
          <w:tcPr>
            <w:tcW w:w="54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73" w:type="dxa"/>
            </w:tcMar>
            <w:vAlign w:val="bottom"/>
          </w:tcPr>
          <w:p>
            <w:pPr>
              <w:pStyle w:val="Normal"/>
              <w:widowControl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Ремонт отмосток оборудования бетоном</w:t>
            </w:r>
          </w:p>
        </w:tc>
        <w:tc>
          <w:tcPr>
            <w:tcW w:w="10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  <w:vAlign w:val="bottom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</w:rPr>
              <w:t>м2</w:t>
            </w:r>
          </w:p>
        </w:tc>
        <w:tc>
          <w:tcPr>
            <w:tcW w:w="1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  <w:vAlign w:val="bottom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</w:rPr>
              <w:t>1</w:t>
            </w:r>
          </w:p>
        </w:tc>
        <w:tc>
          <w:tcPr>
            <w:tcW w:w="14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  <w:vAlign w:val="bottom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</w:rPr>
              <w:t>728,40</w:t>
            </w:r>
          </w:p>
        </w:tc>
      </w:tr>
      <w:tr>
        <w:trPr>
          <w:trHeight w:val="960" w:hRule="atLeast"/>
        </w:trPr>
        <w:tc>
          <w:tcPr>
            <w:tcW w:w="4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  <w:vAlign w:val="bottom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</w:rPr>
              <w:t>5</w:t>
            </w:r>
          </w:p>
        </w:tc>
        <w:tc>
          <w:tcPr>
            <w:tcW w:w="54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73" w:type="dxa"/>
            </w:tcMar>
            <w:vAlign w:val="bottom"/>
          </w:tcPr>
          <w:p>
            <w:pPr>
              <w:pStyle w:val="Normal"/>
              <w:widowControl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Ремонт отмосток оборудования асфальтобетоном</w:t>
            </w:r>
          </w:p>
        </w:tc>
        <w:tc>
          <w:tcPr>
            <w:tcW w:w="10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  <w:vAlign w:val="bottom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</w:rPr>
              <w:t>м2</w:t>
            </w:r>
          </w:p>
        </w:tc>
        <w:tc>
          <w:tcPr>
            <w:tcW w:w="1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  <w:vAlign w:val="bottom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</w:rPr>
              <w:t>1</w:t>
            </w:r>
          </w:p>
        </w:tc>
        <w:tc>
          <w:tcPr>
            <w:tcW w:w="14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  <w:vAlign w:val="bottom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</w:rPr>
              <w:t>760,00</w:t>
            </w:r>
          </w:p>
        </w:tc>
      </w:tr>
      <w:tr>
        <w:trPr>
          <w:trHeight w:val="960" w:hRule="atLeast"/>
        </w:trPr>
        <w:tc>
          <w:tcPr>
            <w:tcW w:w="4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  <w:vAlign w:val="bottom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</w:rPr>
              <w:t>6</w:t>
            </w:r>
          </w:p>
        </w:tc>
        <w:tc>
          <w:tcPr>
            <w:tcW w:w="54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73" w:type="dxa"/>
            </w:tcMar>
            <w:vAlign w:val="bottom"/>
          </w:tcPr>
          <w:p>
            <w:pPr>
              <w:pStyle w:val="Normal"/>
              <w:widowControl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Установка бортового камня БР100.20.8</w:t>
            </w:r>
          </w:p>
        </w:tc>
        <w:tc>
          <w:tcPr>
            <w:tcW w:w="10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  <w:vAlign w:val="bottom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</w:rPr>
              <w:t xml:space="preserve"> </w:t>
            </w:r>
            <w:r>
              <w:rPr>
                <w:rFonts w:cs="Times New Roman" w:ascii="Times New Roman" w:hAnsi="Times New Roman"/>
              </w:rPr>
              <w:t>пог.м.</w:t>
            </w:r>
          </w:p>
        </w:tc>
        <w:tc>
          <w:tcPr>
            <w:tcW w:w="1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  <w:vAlign w:val="bottom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</w:rPr>
              <w:t>1</w:t>
            </w:r>
          </w:p>
        </w:tc>
        <w:tc>
          <w:tcPr>
            <w:tcW w:w="14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  <w:vAlign w:val="bottom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</w:rPr>
              <w:t>600,00</w:t>
            </w:r>
          </w:p>
        </w:tc>
      </w:tr>
      <w:tr>
        <w:trPr>
          <w:trHeight w:val="840" w:hRule="atLeast"/>
        </w:trPr>
        <w:tc>
          <w:tcPr>
            <w:tcW w:w="4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  <w:vAlign w:val="bottom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</w:rPr>
              <w:t>7</w:t>
            </w:r>
          </w:p>
        </w:tc>
        <w:tc>
          <w:tcPr>
            <w:tcW w:w="54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73" w:type="dxa"/>
            </w:tcMar>
            <w:vAlign w:val="bottom"/>
          </w:tcPr>
          <w:p>
            <w:pPr>
              <w:pStyle w:val="Normal"/>
              <w:widowControl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Футбольное поле (покрытие,ограждение,искуственная трава,ворота, лавки 7шт)</w:t>
            </w:r>
          </w:p>
        </w:tc>
        <w:tc>
          <w:tcPr>
            <w:tcW w:w="10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  <w:vAlign w:val="bottom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</w:rPr>
              <w:t>м2</w:t>
            </w:r>
          </w:p>
        </w:tc>
        <w:tc>
          <w:tcPr>
            <w:tcW w:w="1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  <w:vAlign w:val="bottom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</w:rPr>
              <w:t>1</w:t>
            </w:r>
          </w:p>
        </w:tc>
        <w:tc>
          <w:tcPr>
            <w:tcW w:w="14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  <w:vAlign w:val="bottom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</w:rPr>
              <w:t>2613,00</w:t>
            </w:r>
          </w:p>
        </w:tc>
      </w:tr>
      <w:tr>
        <w:trPr>
          <w:trHeight w:val="672" w:hRule="atLeast"/>
        </w:trPr>
        <w:tc>
          <w:tcPr>
            <w:tcW w:w="4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  <w:vAlign w:val="bottom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</w:rPr>
              <w:t>8</w:t>
            </w:r>
          </w:p>
        </w:tc>
        <w:tc>
          <w:tcPr>
            <w:tcW w:w="54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73" w:type="dxa"/>
            </w:tcMar>
            <w:vAlign w:val="bottom"/>
          </w:tcPr>
          <w:p>
            <w:pPr>
              <w:pStyle w:val="Normal"/>
              <w:widowControl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Футбольное поле (покрытие с подготовкой)</w:t>
            </w:r>
          </w:p>
        </w:tc>
        <w:tc>
          <w:tcPr>
            <w:tcW w:w="10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  <w:vAlign w:val="bottom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</w:rPr>
              <w:t>м2</w:t>
            </w:r>
          </w:p>
        </w:tc>
        <w:tc>
          <w:tcPr>
            <w:tcW w:w="1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  <w:vAlign w:val="bottom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</w:rPr>
              <w:t>1</w:t>
            </w:r>
          </w:p>
        </w:tc>
        <w:tc>
          <w:tcPr>
            <w:tcW w:w="14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  <w:vAlign w:val="bottom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</w:rPr>
              <w:t>2063,00</w:t>
            </w:r>
          </w:p>
        </w:tc>
      </w:tr>
      <w:tr>
        <w:trPr>
          <w:trHeight w:val="923" w:hRule="atLeast"/>
        </w:trPr>
        <w:tc>
          <w:tcPr>
            <w:tcW w:w="4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  <w:vAlign w:val="bottom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</w:rPr>
              <w:t>9</w:t>
            </w:r>
          </w:p>
        </w:tc>
        <w:tc>
          <w:tcPr>
            <w:tcW w:w="54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73" w:type="dxa"/>
            </w:tcMar>
            <w:vAlign w:val="bottom"/>
          </w:tcPr>
          <w:p>
            <w:pPr>
              <w:pStyle w:val="Normal"/>
              <w:widowControl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Посадка кустарника в "живую изгородь" однорядную (спирел,лапчатка и др.3 шт на 1п.м. кустарника)</w:t>
            </w:r>
          </w:p>
        </w:tc>
        <w:tc>
          <w:tcPr>
            <w:tcW w:w="10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  <w:vAlign w:val="bottom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</w:rPr>
              <w:t>пог.м</w:t>
            </w:r>
          </w:p>
        </w:tc>
        <w:tc>
          <w:tcPr>
            <w:tcW w:w="1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  <w:vAlign w:val="bottom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</w:rPr>
              <w:t>1</w:t>
            </w:r>
          </w:p>
        </w:tc>
        <w:tc>
          <w:tcPr>
            <w:tcW w:w="14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3" w:type="dxa"/>
            </w:tcMar>
            <w:vAlign w:val="bottom"/>
          </w:tcPr>
          <w:p>
            <w:pPr>
              <w:pStyle w:val="Normal"/>
              <w:widowControl/>
              <w:jc w:val="center"/>
              <w:rPr/>
            </w:pPr>
            <w:r>
              <w:rPr>
                <w:rFonts w:cs="Times New Roman" w:ascii="Times New Roman" w:hAnsi="Times New Roman"/>
              </w:rPr>
              <w:t>459,00</w:t>
            </w:r>
          </w:p>
        </w:tc>
      </w:tr>
    </w:tbl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tbl>
      <w:tblPr>
        <w:tblW w:w="9781" w:type="dxa"/>
        <w:jc w:val="left"/>
        <w:tblInd w:w="49" w:type="dxa"/>
        <w:tblBorders>
          <w:top w:val="single" w:sz="2" w:space="0" w:color="FFFFFF"/>
          <w:left w:val="single" w:sz="2" w:space="0" w:color="FFFFFF"/>
          <w:bottom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CellMar>
          <w:top w:w="55" w:type="dxa"/>
          <w:left w:w="36" w:type="dxa"/>
          <w:bottom w:w="55" w:type="dxa"/>
          <w:right w:w="55" w:type="dxa"/>
        </w:tblCellMar>
        <w:tblLook w:val="04a0"/>
      </w:tblPr>
      <w:tblGrid>
        <w:gridCol w:w="9781"/>
      </w:tblGrid>
      <w:tr>
        <w:trPr/>
        <w:tc>
          <w:tcPr>
            <w:tcW w:w="9781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  <w:insideH w:val="single" w:sz="2" w:space="0" w:color="FFFFFF"/>
              <w:insideV w:val="single" w:sz="2" w:space="0" w:color="FFFFFF"/>
            </w:tcBorders>
            <w:shd w:fill="auto" w:val="clear"/>
          </w:tcPr>
          <w:p>
            <w:pPr>
              <w:pStyle w:val="Style22"/>
              <w:ind w:left="5190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Style22"/>
              <w:ind w:left="5190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Style22"/>
              <w:ind w:left="5190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Style22"/>
              <w:ind w:left="5190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Style22"/>
              <w:ind w:left="5190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Style22"/>
              <w:ind w:left="5190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Style22"/>
              <w:ind w:left="5190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Style22"/>
              <w:ind w:left="5190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Style22"/>
              <w:ind w:left="5190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Style22"/>
              <w:ind w:left="5190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Style22"/>
              <w:ind w:left="5190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Style22"/>
              <w:ind w:left="5190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Style22"/>
              <w:ind w:left="5190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Style22"/>
              <w:ind w:left="5190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Style22"/>
              <w:ind w:left="5190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Style22"/>
              <w:ind w:left="5190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Style22"/>
              <w:ind w:left="5190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Style22"/>
              <w:ind w:left="5190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Style22"/>
              <w:ind w:left="5190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Style22"/>
              <w:ind w:left="5190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Style22"/>
              <w:ind w:left="5190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Style22"/>
              <w:ind w:left="5190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Style22"/>
              <w:ind w:left="5190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Style22"/>
              <w:ind w:left="5190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Style22"/>
              <w:ind w:left="5190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Style22"/>
              <w:ind w:left="5190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Style22"/>
              <w:ind w:left="5190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Style22"/>
              <w:ind w:left="5190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Style22"/>
              <w:ind w:left="5190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Style22"/>
              <w:ind w:left="5190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Style22"/>
              <w:ind w:left="5190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Style22"/>
              <w:ind w:left="5190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Style22"/>
              <w:ind w:left="5190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Style22"/>
              <w:ind w:left="5190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Style22"/>
              <w:ind w:left="5190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Style22"/>
              <w:ind w:left="5190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Style22"/>
              <w:ind w:left="5190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Style22"/>
              <w:ind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Style22"/>
              <w:ind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Style2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Style22"/>
              <w:ind w:left="5190" w:hanging="0"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Приложение 5</w:t>
            </w:r>
          </w:p>
          <w:p>
            <w:pPr>
              <w:pStyle w:val="Style22"/>
              <w:ind w:left="5190" w:hanging="0"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к  муниципальной программе «Формирование современной городской среды на территории городского поселения Змиевка  Свердловского района Орловской области  в 2019-2024 годах»</w:t>
            </w:r>
          </w:p>
        </w:tc>
      </w:tr>
    </w:tbl>
    <w:p>
      <w:pPr>
        <w:pStyle w:val="Normal"/>
        <w:jc w:val="center"/>
        <w:rPr/>
      </w:pPr>
      <w:r>
        <w:rPr>
          <w:rFonts w:cs="Times New Roman" w:ascii="Times New Roman" w:hAnsi="Times New Roman"/>
          <w:sz w:val="28"/>
          <w:szCs w:val="28"/>
        </w:rPr>
        <w:t>Порядок</w:t>
      </w:r>
    </w:p>
    <w:p>
      <w:pPr>
        <w:pStyle w:val="Normal"/>
        <w:jc w:val="center"/>
        <w:rPr/>
      </w:pPr>
      <w:bookmarkStart w:id="7" w:name="Par29"/>
      <w:bookmarkEnd w:id="7"/>
      <w:r>
        <w:rPr>
          <w:rFonts w:cs="Times New Roman" w:ascii="Times New Roman" w:hAnsi="Times New Roman"/>
          <w:sz w:val="28"/>
          <w:szCs w:val="28"/>
        </w:rPr>
        <w:t xml:space="preserve">разработки, обсуждения с заинтересованными лицами и утверждения дизайн-проектов благоустройства дворовой территории, включаемых в Программу  </w:t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1. Настоящий порядок устанавливает процедуру разработки, обсуждения с заинтересованными лицами и утверждения дизайн-проектов благоустройства дворовых территорий, включаемых в муниципальную Программу  (далее  - Порядок).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2. Ответственным лицом за разработку дизайн - проектов является подрядная организация .  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3. Дизайн-проект разрабатывается в отношении дворовых территорий, прошедших отбор,  исходя из даты представления предложений заинтересованных лиц в пределах выделенных лимитов бюджетных ассигнований. 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4. В случае совместной заявки заинтересованных лиц, проживающих в многоквартирных домах, имеющих общую дворовую территорию, дизайн - проект разрабатывается на общую дворовую территорию.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5. В дизайн - проект включается текстовое и визуальное описание проекта благоустройства, в том числе концепция проекта и перечень (в том числе визуализированный) элементов благоустройства, предполагаемых к размещению на соответствующей территории.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6. Содержание дизайн-проекта зависит от вида и состава планируемых работ.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7.Дизайн-проект должен быть разработан с учетом физической, пространственной и информационной доступности зданий, сооружений дворовых территорий для инвалидов и других маломобильных групп населения.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8. Разработка дизайн - проекта включает следующие стадии: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8.1. осмотр дворовой территории, предлагаемой к благоустройству, совместно с представителем заинтересованных лиц;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8.2. разработка дизайн - проекта;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8.3. согласование дизайн-проекта благоустройства дворовой территории  с представителем заинтересованных лиц;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8.4. утверждение дизайн - проекта общественной  комиссией.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9. Представитель заинтересованных лиц обязан рассмотреть представленный дизайн-проект в срок, не превышающий двух календарных дней с момента его получения и представить в отдел архитектуры, строительства и ЖКХ и администрации   Свердловского района  согласованный дизайн-проект или мотивированные замечания.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10. В случае не урегулирования замечаний, отдел архитектуры, строительства и  ЖКХ администрации  Свердловского  района  передает дизайн - проект с замечаниями представителя заинтересованных лиц общественной комиссии для проведения обсуждения с участием представителя заинтересованных лиц и принятия решения по дизайн - проекту.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11. Дизайн - проект утверждается общественной комиссией, решение об утверждении оформляется в виде протокола заседания комиссии.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/>
      </w:pPr>
      <w:r>
        <w:rPr/>
      </w:r>
    </w:p>
    <w:p>
      <w:pPr>
        <w:pStyle w:val="Normal"/>
        <w:shd w:val="clear" w:color="auto" w:fill="FFFFFF"/>
        <w:ind w:left="851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 </w:t>
      </w:r>
    </w:p>
    <w:sectPr>
      <w:type w:val="nextPage"/>
      <w:pgSz w:w="11906" w:h="16838"/>
      <w:pgMar w:left="1701" w:right="567" w:header="0" w:top="1134" w:footer="0" w:bottom="1134" w:gutter="0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ourier New">
    <w:charset w:val="01"/>
    <w:family w:val="roman"/>
    <w:pitch w:val="variable"/>
  </w:font>
  <w:font w:name="Arial"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Calibri">
    <w:charset w:val="01"/>
    <w:family w:val="roman"/>
    <w:pitch w:val="variable"/>
  </w:font>
  <w:font w:name="Verdana">
    <w:charset w:val="01"/>
    <w:family w:val="roman"/>
    <w:pitch w:val="variable"/>
  </w:font>
  <w:font w:name="Times New Roman CYR">
    <w:charset w:val="01"/>
    <w:family w:val="roman"/>
    <w:pitch w:val="variable"/>
  </w:font>
  <w:font w:name="Times New Roman">
    <w:charset w:val="01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8"/>
        <w:rFonts w:cs="Times New Roman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Times New Roman" w:hAnsi="Times New Roman" w:cs="Times New Roman" w:hint="default"/>
        <w:rFonts w:cs="Times New Roman"/>
      </w:rPr>
    </w:lvl>
    <w:lvl w:ilvl="2">
      <w:start w:val="1"/>
      <w:numFmt w:val="bullet"/>
      <w:lvlText w:val="▪"/>
      <w:lvlJc w:val="left"/>
      <w:pPr>
        <w:ind w:left="1440" w:hanging="360"/>
      </w:pPr>
      <w:rPr>
        <w:rFonts w:ascii="Times New Roman" w:hAnsi="Times New Roman" w:cs="Times New Roman" w:hint="default"/>
        <w:rFonts w:cs="Times New Roman"/>
      </w:rPr>
    </w:lvl>
    <w:lvl w:ilvl="3">
      <w:start w:val="1"/>
      <w:numFmt w:val="bullet"/>
      <w:lvlText w:val="•"/>
      <w:lvlJc w:val="left"/>
      <w:pPr>
        <w:ind w:left="1800" w:hanging="360"/>
      </w:pPr>
      <w:rPr>
        <w:rFonts w:ascii="Times New Roman" w:hAnsi="Times New Roman" w:cs="Times New Roman" w:hint="default"/>
        <w:rFonts w:cs="Times New Roman"/>
      </w:rPr>
    </w:lvl>
    <w:lvl w:ilvl="4">
      <w:start w:val="1"/>
      <w:numFmt w:val="bullet"/>
      <w:lvlText w:val="o"/>
      <w:lvlJc w:val="left"/>
      <w:pPr>
        <w:ind w:left="2160" w:hanging="360"/>
      </w:pPr>
      <w:rPr>
        <w:rFonts w:ascii="Times New Roman" w:hAnsi="Times New Roman" w:cs="Times New Roman" w:hint="default"/>
        <w:rFonts w:cs="Times New Roman"/>
      </w:rPr>
    </w:lvl>
    <w:lvl w:ilvl="5">
      <w:start w:val="1"/>
      <w:numFmt w:val="bullet"/>
      <w:lvlText w:val="▪"/>
      <w:lvlJc w:val="left"/>
      <w:pPr>
        <w:ind w:left="2520" w:hanging="360"/>
      </w:pPr>
      <w:rPr>
        <w:rFonts w:ascii="Times New Roman" w:hAnsi="Times New Roman" w:cs="Times New Roman" w:hint="default"/>
        <w:rFonts w:cs="Times New Roman"/>
      </w:rPr>
    </w:lvl>
    <w:lvl w:ilvl="6">
      <w:start w:val="1"/>
      <w:numFmt w:val="bullet"/>
      <w:lvlText w:val="•"/>
      <w:lvlJc w:val="left"/>
      <w:pPr>
        <w:ind w:left="2880" w:hanging="360"/>
      </w:pPr>
      <w:rPr>
        <w:rFonts w:ascii="Times New Roman" w:hAnsi="Times New Roman" w:cs="Times New Roman" w:hint="default"/>
        <w:rFonts w:cs="Times New Roman"/>
      </w:rPr>
    </w:lvl>
    <w:lvl w:ilvl="7">
      <w:start w:val="1"/>
      <w:numFmt w:val="bullet"/>
      <w:lvlText w:val="o"/>
      <w:lvlJc w:val="left"/>
      <w:pPr>
        <w:ind w:left="3240" w:hanging="360"/>
      </w:pPr>
      <w:rPr>
        <w:rFonts w:ascii="Times New Roman" w:hAnsi="Times New Roman" w:cs="Times New Roman" w:hint="default"/>
        <w:rFonts w:cs="Times New Roman"/>
      </w:rPr>
    </w:lvl>
    <w:lvl w:ilvl="8">
      <w:start w:val="1"/>
      <w:numFmt w:val="bullet"/>
      <w:lvlText w:val="▪"/>
      <w:lvlJc w:val="left"/>
      <w:pPr>
        <w:ind w:left="3600" w:hanging="360"/>
      </w:pPr>
      <w:rPr>
        <w:rFonts w:ascii="Times New Roman" w:hAnsi="Times New Roman" w:cs="Times New Roman" w:hint="default"/>
        <w:rFonts w:cs="Times New Roman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sz w:val="28"/>
        <w:rFonts w:cs="Times New Roman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3600" w:hanging="360"/>
      </w:pPr>
      <w:rPr>
        <w:rFonts w:cs="Times New Roman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Micro Hei" w:cs="Lohit Devanagari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a4700"/>
    <w:pPr>
      <w:widowControl w:val="false"/>
      <w:bidi w:val="0"/>
      <w:jc w:val="left"/>
    </w:pPr>
    <w:rPr>
      <w:rFonts w:ascii="Courier New" w:hAnsi="Courier New" w:eastAsia="Courier New" w:cs="Courier New"/>
      <w:color w:val="000000"/>
      <w:kern w:val="0"/>
      <w:sz w:val="24"/>
      <w:szCs w:val="24"/>
      <w:lang w:val="ru-RU" w:eastAsia="ru-RU" w:bidi="ar-SA"/>
    </w:rPr>
  </w:style>
  <w:style w:type="paragraph" w:styleId="1" w:customStyle="1">
    <w:name w:val="Heading 1"/>
    <w:basedOn w:val="Normal"/>
    <w:qFormat/>
    <w:rsid w:val="002a4700"/>
    <w:pPr>
      <w:spacing w:before="108" w:after="108"/>
      <w:jc w:val="center"/>
      <w:outlineLvl w:val="0"/>
    </w:pPr>
    <w:rPr>
      <w:rFonts w:ascii="Arial" w:hAnsi="Arial" w:cs="Times New Roman"/>
      <w:b/>
      <w:bCs/>
      <w:color w:val="000080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qFormat/>
    <w:rsid w:val="002a4700"/>
    <w:rPr>
      <w:rFonts w:ascii="Arial" w:hAnsi="Arial" w:cs="Times New Roman"/>
      <w:b/>
      <w:bCs/>
      <w:color w:val="000080"/>
      <w:sz w:val="26"/>
      <w:szCs w:val="26"/>
      <w:lang w:val="ru-RU" w:eastAsia="ru-RU"/>
    </w:rPr>
  </w:style>
  <w:style w:type="character" w:styleId="Style13" w:customStyle="1">
    <w:name w:val="Интернет-ссылка"/>
    <w:basedOn w:val="DefaultParagraphFont"/>
    <w:rsid w:val="002a4700"/>
    <w:rPr>
      <w:rFonts w:cs="Times New Roman"/>
      <w:color w:val="0066CC"/>
      <w:u w:val="single"/>
    </w:rPr>
  </w:style>
  <w:style w:type="character" w:styleId="Exact" w:customStyle="1">
    <w:name w:val="Основной текст Exact"/>
    <w:basedOn w:val="DefaultParagraphFont"/>
    <w:qFormat/>
    <w:rsid w:val="002a4700"/>
    <w:rPr>
      <w:rFonts w:ascii="Times New Roman" w:hAnsi="Times New Roman" w:cs="Times New Roman"/>
      <w:spacing w:val="-2"/>
      <w:sz w:val="26"/>
      <w:szCs w:val="26"/>
      <w:u w:val="none"/>
    </w:rPr>
  </w:style>
  <w:style w:type="character" w:styleId="2" w:customStyle="1">
    <w:name w:val="Основной текст (2)_"/>
    <w:basedOn w:val="DefaultParagraphFont"/>
    <w:qFormat/>
    <w:rsid w:val="002a4700"/>
    <w:rPr>
      <w:rFonts w:ascii="Times New Roman" w:hAnsi="Times New Roman" w:cs="Times New Roman"/>
      <w:b/>
      <w:bCs/>
      <w:sz w:val="22"/>
      <w:szCs w:val="22"/>
      <w:u w:val="none"/>
    </w:rPr>
  </w:style>
  <w:style w:type="character" w:styleId="12" w:customStyle="1">
    <w:name w:val="Заголовок №1 (2)_"/>
    <w:basedOn w:val="DefaultParagraphFont"/>
    <w:qFormat/>
    <w:rsid w:val="002a4700"/>
    <w:rPr>
      <w:rFonts w:ascii="Times New Roman" w:hAnsi="Times New Roman" w:cs="Times New Roman"/>
      <w:b/>
      <w:bCs/>
      <w:spacing w:val="20"/>
      <w:sz w:val="38"/>
      <w:szCs w:val="38"/>
      <w:u w:val="none"/>
    </w:rPr>
  </w:style>
  <w:style w:type="character" w:styleId="1215pt0pt" w:customStyle="1">
    <w:name w:val="Заголовок №1 (2) + 15 pt;Интервал 0 pt"/>
    <w:basedOn w:val="12"/>
    <w:qFormat/>
    <w:rsid w:val="002a4700"/>
    <w:rPr>
      <w:rFonts w:ascii="Times New Roman" w:hAnsi="Times New Roman" w:cs="Times New Roman"/>
      <w:b/>
      <w:bCs/>
      <w:spacing w:val="0"/>
      <w:sz w:val="30"/>
      <w:szCs w:val="30"/>
      <w:u w:val="none"/>
    </w:rPr>
  </w:style>
  <w:style w:type="character" w:styleId="Style14" w:customStyle="1">
    <w:name w:val="Основной текст Знак"/>
    <w:basedOn w:val="DefaultParagraphFont"/>
    <w:qFormat/>
    <w:rsid w:val="002a4700"/>
    <w:rPr>
      <w:rFonts w:cs="Times New Roman"/>
      <w:color w:val="000000"/>
      <w:sz w:val="24"/>
      <w:szCs w:val="24"/>
    </w:rPr>
  </w:style>
  <w:style w:type="character" w:styleId="Style15" w:customStyle="1">
    <w:name w:val="Верхний колонтитул Знак"/>
    <w:basedOn w:val="DefaultParagraphFont"/>
    <w:qFormat/>
    <w:rsid w:val="002a4700"/>
    <w:rPr>
      <w:rFonts w:cs="Times New Roman"/>
      <w:color w:val="000000"/>
      <w:sz w:val="24"/>
      <w:szCs w:val="24"/>
    </w:rPr>
  </w:style>
  <w:style w:type="character" w:styleId="Style16" w:customStyle="1">
    <w:name w:val="Нижний колонтитул Знак"/>
    <w:basedOn w:val="DefaultParagraphFont"/>
    <w:qFormat/>
    <w:rsid w:val="002a4700"/>
    <w:rPr>
      <w:rFonts w:cs="Times New Roman"/>
      <w:color w:val="000000"/>
      <w:sz w:val="24"/>
      <w:szCs w:val="24"/>
    </w:rPr>
  </w:style>
  <w:style w:type="character" w:styleId="3" w:customStyle="1">
    <w:name w:val="Основной текст с отступом 3 Знак"/>
    <w:basedOn w:val="DefaultParagraphFont"/>
    <w:qFormat/>
    <w:rsid w:val="002a4700"/>
    <w:rPr>
      <w:rFonts w:ascii="Times New Roman" w:hAnsi="Times New Roman" w:cs="Times New Roman"/>
      <w:sz w:val="16"/>
      <w:szCs w:val="16"/>
      <w:lang w:val="ru-RU" w:eastAsia="ar-SA" w:bidi="ar-SA"/>
    </w:rPr>
  </w:style>
  <w:style w:type="character" w:styleId="ListLabel1" w:customStyle="1">
    <w:name w:val="ListLabel 1"/>
    <w:qFormat/>
    <w:rsid w:val="002a4700"/>
    <w:rPr>
      <w:rFonts w:cs="Arial"/>
    </w:rPr>
  </w:style>
  <w:style w:type="character" w:styleId="ListLabel2" w:customStyle="1">
    <w:name w:val="ListLabel 2"/>
    <w:qFormat/>
    <w:rsid w:val="002a4700"/>
    <w:rPr>
      <w:rFonts w:cs="Times New Roman"/>
    </w:rPr>
  </w:style>
  <w:style w:type="character" w:styleId="ListLabel3" w:customStyle="1">
    <w:name w:val="ListLabel 3"/>
    <w:qFormat/>
    <w:rsid w:val="002a4700"/>
    <w:rPr>
      <w:rFonts w:cs="Times New Roman"/>
    </w:rPr>
  </w:style>
  <w:style w:type="character" w:styleId="ListLabel4" w:customStyle="1">
    <w:name w:val="ListLabel 4"/>
    <w:qFormat/>
    <w:rsid w:val="002a4700"/>
    <w:rPr>
      <w:rFonts w:cs="Times New Roman"/>
    </w:rPr>
  </w:style>
  <w:style w:type="character" w:styleId="ListLabel5" w:customStyle="1">
    <w:name w:val="ListLabel 5"/>
    <w:qFormat/>
    <w:rsid w:val="002a4700"/>
    <w:rPr>
      <w:rFonts w:cs="Times New Roman"/>
    </w:rPr>
  </w:style>
  <w:style w:type="character" w:styleId="ListLabel6" w:customStyle="1">
    <w:name w:val="ListLabel 6"/>
    <w:qFormat/>
    <w:rsid w:val="002a4700"/>
    <w:rPr>
      <w:rFonts w:cs="Times New Roman"/>
    </w:rPr>
  </w:style>
  <w:style w:type="character" w:styleId="ListLabel7" w:customStyle="1">
    <w:name w:val="ListLabel 7"/>
    <w:qFormat/>
    <w:rsid w:val="002a4700"/>
    <w:rPr>
      <w:rFonts w:cs="Times New Roman"/>
    </w:rPr>
  </w:style>
  <w:style w:type="character" w:styleId="ListLabel8" w:customStyle="1">
    <w:name w:val="ListLabel 8"/>
    <w:qFormat/>
    <w:rsid w:val="002a4700"/>
    <w:rPr>
      <w:rFonts w:cs="Times New Roman"/>
    </w:rPr>
  </w:style>
  <w:style w:type="character" w:styleId="ListLabel9" w:customStyle="1">
    <w:name w:val="ListLabel 9"/>
    <w:qFormat/>
    <w:rsid w:val="002a4700"/>
    <w:rPr>
      <w:rFonts w:cs="Times New Roman"/>
    </w:rPr>
  </w:style>
  <w:style w:type="character" w:styleId="ListLabel10" w:customStyle="1">
    <w:name w:val="ListLabel 10"/>
    <w:qFormat/>
    <w:rsid w:val="002a4700"/>
    <w:rPr>
      <w:rFonts w:ascii="Times New Roman" w:hAnsi="Times New Roman" w:eastAsia="Times New Roman" w:cs="Times New Roman"/>
      <w:sz w:val="28"/>
    </w:rPr>
  </w:style>
  <w:style w:type="character" w:styleId="ListLabel11" w:customStyle="1">
    <w:name w:val="ListLabel 11"/>
    <w:qFormat/>
    <w:rsid w:val="002a4700"/>
    <w:rPr>
      <w:rFonts w:eastAsia="Times New Roman" w:cs="Times New Roman"/>
    </w:rPr>
  </w:style>
  <w:style w:type="character" w:styleId="ListLabel12" w:customStyle="1">
    <w:name w:val="ListLabel 12"/>
    <w:qFormat/>
    <w:rsid w:val="002a4700"/>
    <w:rPr>
      <w:rFonts w:eastAsia="Times New Roman" w:cs="Times New Roman"/>
    </w:rPr>
  </w:style>
  <w:style w:type="character" w:styleId="ListLabel13" w:customStyle="1">
    <w:name w:val="ListLabel 13"/>
    <w:qFormat/>
    <w:rsid w:val="002a4700"/>
    <w:rPr>
      <w:rFonts w:eastAsia="Times New Roman" w:cs="Times New Roman"/>
    </w:rPr>
  </w:style>
  <w:style w:type="character" w:styleId="ListLabel14" w:customStyle="1">
    <w:name w:val="ListLabel 14"/>
    <w:qFormat/>
    <w:rsid w:val="002a4700"/>
    <w:rPr>
      <w:rFonts w:eastAsia="Times New Roman" w:cs="Times New Roman"/>
    </w:rPr>
  </w:style>
  <w:style w:type="character" w:styleId="ListLabel15" w:customStyle="1">
    <w:name w:val="ListLabel 15"/>
    <w:qFormat/>
    <w:rsid w:val="002a4700"/>
    <w:rPr>
      <w:rFonts w:eastAsia="Times New Roman" w:cs="Times New Roman"/>
    </w:rPr>
  </w:style>
  <w:style w:type="character" w:styleId="ListLabel16" w:customStyle="1">
    <w:name w:val="ListLabel 16"/>
    <w:qFormat/>
    <w:rsid w:val="002a4700"/>
    <w:rPr>
      <w:rFonts w:eastAsia="Times New Roman" w:cs="Times New Roman"/>
    </w:rPr>
  </w:style>
  <w:style w:type="character" w:styleId="ListLabel17" w:customStyle="1">
    <w:name w:val="ListLabel 17"/>
    <w:qFormat/>
    <w:rsid w:val="002a4700"/>
    <w:rPr>
      <w:rFonts w:eastAsia="Times New Roman" w:cs="Times New Roman"/>
    </w:rPr>
  </w:style>
  <w:style w:type="character" w:styleId="ListLabel18" w:customStyle="1">
    <w:name w:val="ListLabel 18"/>
    <w:qFormat/>
    <w:rsid w:val="002a4700"/>
    <w:rPr>
      <w:rFonts w:eastAsia="Times New Roman" w:cs="Times New Roman"/>
    </w:rPr>
  </w:style>
  <w:style w:type="character" w:styleId="ListLabel19" w:customStyle="1">
    <w:name w:val="ListLabel 19"/>
    <w:qFormat/>
    <w:rsid w:val="002a4700"/>
    <w:rPr>
      <w:rFonts w:cs="Times New Roman"/>
    </w:rPr>
  </w:style>
  <w:style w:type="character" w:styleId="ListLabel20" w:customStyle="1">
    <w:name w:val="ListLabel 20"/>
    <w:qFormat/>
    <w:rsid w:val="002a4700"/>
    <w:rPr>
      <w:rFonts w:cs="Times New Roman"/>
    </w:rPr>
  </w:style>
  <w:style w:type="character" w:styleId="ListLabel21" w:customStyle="1">
    <w:name w:val="ListLabel 21"/>
    <w:qFormat/>
    <w:rsid w:val="002a4700"/>
    <w:rPr>
      <w:rFonts w:cs="Times New Roman"/>
    </w:rPr>
  </w:style>
  <w:style w:type="character" w:styleId="ListLabel22" w:customStyle="1">
    <w:name w:val="ListLabel 22"/>
    <w:qFormat/>
    <w:rsid w:val="002a4700"/>
    <w:rPr>
      <w:rFonts w:cs="Times New Roman"/>
    </w:rPr>
  </w:style>
  <w:style w:type="character" w:styleId="ListLabel23" w:customStyle="1">
    <w:name w:val="ListLabel 23"/>
    <w:qFormat/>
    <w:rsid w:val="002a4700"/>
    <w:rPr>
      <w:rFonts w:cs="Times New Roman"/>
    </w:rPr>
  </w:style>
  <w:style w:type="character" w:styleId="ListLabel24" w:customStyle="1">
    <w:name w:val="ListLabel 24"/>
    <w:qFormat/>
    <w:rsid w:val="002a4700"/>
    <w:rPr>
      <w:rFonts w:cs="Times New Roman"/>
    </w:rPr>
  </w:style>
  <w:style w:type="character" w:styleId="ListLabel25" w:customStyle="1">
    <w:name w:val="ListLabel 25"/>
    <w:qFormat/>
    <w:rsid w:val="002a4700"/>
    <w:rPr>
      <w:rFonts w:cs="Times New Roman"/>
    </w:rPr>
  </w:style>
  <w:style w:type="character" w:styleId="ListLabel26" w:customStyle="1">
    <w:name w:val="ListLabel 26"/>
    <w:qFormat/>
    <w:rsid w:val="002a4700"/>
    <w:rPr>
      <w:rFonts w:cs="Times New Roman"/>
    </w:rPr>
  </w:style>
  <w:style w:type="character" w:styleId="ListLabel27" w:customStyle="1">
    <w:name w:val="ListLabel 27"/>
    <w:qFormat/>
    <w:rsid w:val="002a4700"/>
    <w:rPr>
      <w:rFonts w:cs="Times New Roman"/>
    </w:rPr>
  </w:style>
  <w:style w:type="character" w:styleId="ListLabel28" w:customStyle="1">
    <w:name w:val="ListLabel 28"/>
    <w:qFormat/>
    <w:rsid w:val="002a4700"/>
    <w:rPr>
      <w:rFonts w:ascii="Times New Roman" w:hAnsi="Times New Roman" w:cs="Times New Roman"/>
      <w:sz w:val="28"/>
    </w:rPr>
  </w:style>
  <w:style w:type="character" w:styleId="ListLabel29" w:customStyle="1">
    <w:name w:val="ListLabel 29"/>
    <w:qFormat/>
    <w:rsid w:val="002a4700"/>
    <w:rPr>
      <w:rFonts w:cs="Times New Roman"/>
    </w:rPr>
  </w:style>
  <w:style w:type="character" w:styleId="ListLabel30" w:customStyle="1">
    <w:name w:val="ListLabel 30"/>
    <w:qFormat/>
    <w:rsid w:val="002a4700"/>
    <w:rPr>
      <w:rFonts w:cs="Times New Roman"/>
    </w:rPr>
  </w:style>
  <w:style w:type="character" w:styleId="ListLabel31" w:customStyle="1">
    <w:name w:val="ListLabel 31"/>
    <w:qFormat/>
    <w:rsid w:val="002a4700"/>
    <w:rPr>
      <w:rFonts w:cs="Times New Roman"/>
    </w:rPr>
  </w:style>
  <w:style w:type="character" w:styleId="ListLabel32" w:customStyle="1">
    <w:name w:val="ListLabel 32"/>
    <w:qFormat/>
    <w:rsid w:val="002a4700"/>
    <w:rPr>
      <w:rFonts w:cs="Times New Roman"/>
    </w:rPr>
  </w:style>
  <w:style w:type="character" w:styleId="ListLabel33" w:customStyle="1">
    <w:name w:val="ListLabel 33"/>
    <w:qFormat/>
    <w:rsid w:val="002a4700"/>
    <w:rPr>
      <w:rFonts w:cs="Times New Roman"/>
    </w:rPr>
  </w:style>
  <w:style w:type="character" w:styleId="ListLabel34" w:customStyle="1">
    <w:name w:val="ListLabel 34"/>
    <w:qFormat/>
    <w:rsid w:val="002a4700"/>
    <w:rPr>
      <w:rFonts w:cs="Times New Roman"/>
    </w:rPr>
  </w:style>
  <w:style w:type="character" w:styleId="ListLabel35" w:customStyle="1">
    <w:name w:val="ListLabel 35"/>
    <w:qFormat/>
    <w:rsid w:val="002a4700"/>
    <w:rPr>
      <w:rFonts w:cs="Times New Roman"/>
    </w:rPr>
  </w:style>
  <w:style w:type="character" w:styleId="ListLabel36" w:customStyle="1">
    <w:name w:val="ListLabel 36"/>
    <w:qFormat/>
    <w:rsid w:val="002a4700"/>
    <w:rPr>
      <w:rFonts w:cs="Times New Roman"/>
    </w:rPr>
  </w:style>
  <w:style w:type="character" w:styleId="ListLabel37" w:customStyle="1">
    <w:name w:val="ListLabel 37"/>
    <w:qFormat/>
    <w:rsid w:val="002a4700"/>
    <w:rPr>
      <w:rFonts w:cs="Symbol"/>
    </w:rPr>
  </w:style>
  <w:style w:type="character" w:styleId="ListLabel38" w:customStyle="1">
    <w:name w:val="ListLabel 38"/>
    <w:qFormat/>
    <w:rsid w:val="002a4700"/>
    <w:rPr>
      <w:rFonts w:cs="Symbol"/>
    </w:rPr>
  </w:style>
  <w:style w:type="character" w:styleId="ListLabel39" w:customStyle="1">
    <w:name w:val="ListLabel 39"/>
    <w:qFormat/>
    <w:rsid w:val="002a4700"/>
    <w:rPr>
      <w:rFonts w:cs="Symbol"/>
    </w:rPr>
  </w:style>
  <w:style w:type="character" w:styleId="ListLabel40" w:customStyle="1">
    <w:name w:val="ListLabel 40"/>
    <w:qFormat/>
    <w:rsid w:val="002a4700"/>
    <w:rPr>
      <w:rFonts w:cs="Symbol"/>
    </w:rPr>
  </w:style>
  <w:style w:type="character" w:styleId="ListLabel41" w:customStyle="1">
    <w:name w:val="ListLabel 41"/>
    <w:qFormat/>
    <w:rsid w:val="002a4700"/>
    <w:rPr>
      <w:rFonts w:cs="Symbol"/>
    </w:rPr>
  </w:style>
  <w:style w:type="character" w:styleId="ListLabel42" w:customStyle="1">
    <w:name w:val="ListLabel 42"/>
    <w:qFormat/>
    <w:rsid w:val="002a4700"/>
    <w:rPr>
      <w:rFonts w:cs="Symbol"/>
    </w:rPr>
  </w:style>
  <w:style w:type="character" w:styleId="ListLabel43" w:customStyle="1">
    <w:name w:val="ListLabel 43"/>
    <w:qFormat/>
    <w:rsid w:val="002a4700"/>
    <w:rPr>
      <w:rFonts w:cs="Symbol"/>
    </w:rPr>
  </w:style>
  <w:style w:type="character" w:styleId="ListLabel44" w:customStyle="1">
    <w:name w:val="ListLabel 44"/>
    <w:qFormat/>
    <w:rsid w:val="002a4700"/>
    <w:rPr>
      <w:rFonts w:cs="Symbol"/>
    </w:rPr>
  </w:style>
  <w:style w:type="character" w:styleId="ListLabel45" w:customStyle="1">
    <w:name w:val="ListLabel 45"/>
    <w:qFormat/>
    <w:rsid w:val="002a4700"/>
    <w:rPr>
      <w:rFonts w:cs="Symbol"/>
    </w:rPr>
  </w:style>
  <w:style w:type="character" w:styleId="ListLabel46" w:customStyle="1">
    <w:name w:val="ListLabel 46"/>
    <w:qFormat/>
    <w:rsid w:val="002a4700"/>
    <w:rPr>
      <w:rFonts w:cs="Symbol"/>
    </w:rPr>
  </w:style>
  <w:style w:type="character" w:styleId="ListLabel47" w:customStyle="1">
    <w:name w:val="ListLabel 47"/>
    <w:qFormat/>
    <w:rsid w:val="002a4700"/>
    <w:rPr>
      <w:rFonts w:cs="Symbol"/>
    </w:rPr>
  </w:style>
  <w:style w:type="character" w:styleId="ListLabel48" w:customStyle="1">
    <w:name w:val="ListLabel 48"/>
    <w:qFormat/>
    <w:rsid w:val="002a4700"/>
    <w:rPr>
      <w:rFonts w:cs="Symbol"/>
    </w:rPr>
  </w:style>
  <w:style w:type="character" w:styleId="ListLabel49" w:customStyle="1">
    <w:name w:val="ListLabel 49"/>
    <w:qFormat/>
    <w:rsid w:val="002a4700"/>
    <w:rPr>
      <w:rFonts w:cs="Symbol"/>
    </w:rPr>
  </w:style>
  <w:style w:type="character" w:styleId="ListLabel50" w:customStyle="1">
    <w:name w:val="ListLabel 50"/>
    <w:qFormat/>
    <w:rsid w:val="002a4700"/>
    <w:rPr>
      <w:rFonts w:cs="Symbol"/>
    </w:rPr>
  </w:style>
  <w:style w:type="character" w:styleId="ListLabel51" w:customStyle="1">
    <w:name w:val="ListLabel 51"/>
    <w:qFormat/>
    <w:rsid w:val="002a4700"/>
    <w:rPr>
      <w:rFonts w:cs="Symbol"/>
    </w:rPr>
  </w:style>
  <w:style w:type="character" w:styleId="ListLabel52" w:customStyle="1">
    <w:name w:val="ListLabel 52"/>
    <w:qFormat/>
    <w:rsid w:val="002a4700"/>
    <w:rPr>
      <w:rFonts w:cs="Symbol"/>
    </w:rPr>
  </w:style>
  <w:style w:type="character" w:styleId="ListLabel53" w:customStyle="1">
    <w:name w:val="ListLabel 53"/>
    <w:qFormat/>
    <w:rsid w:val="002a4700"/>
    <w:rPr>
      <w:rFonts w:cs="Symbol"/>
    </w:rPr>
  </w:style>
  <w:style w:type="character" w:styleId="ListLabel54" w:customStyle="1">
    <w:name w:val="ListLabel 54"/>
    <w:qFormat/>
    <w:rsid w:val="002a4700"/>
    <w:rPr>
      <w:rFonts w:cs="Symbol"/>
    </w:rPr>
  </w:style>
  <w:style w:type="character" w:styleId="ListLabel55" w:customStyle="1">
    <w:name w:val="ListLabel 55"/>
    <w:qFormat/>
    <w:rsid w:val="002a4700"/>
    <w:rPr>
      <w:rFonts w:cs="Times New Roman"/>
      <w:sz w:val="28"/>
    </w:rPr>
  </w:style>
  <w:style w:type="character" w:styleId="ListLabel56" w:customStyle="1">
    <w:name w:val="ListLabel 56"/>
    <w:qFormat/>
    <w:rsid w:val="002a4700"/>
    <w:rPr>
      <w:rFonts w:cs="Times New Roman"/>
    </w:rPr>
  </w:style>
  <w:style w:type="character" w:styleId="ListLabel57" w:customStyle="1">
    <w:name w:val="ListLabel 57"/>
    <w:qFormat/>
    <w:rsid w:val="002a4700"/>
    <w:rPr>
      <w:rFonts w:cs="Times New Roman"/>
    </w:rPr>
  </w:style>
  <w:style w:type="character" w:styleId="ListLabel58" w:customStyle="1">
    <w:name w:val="ListLabel 58"/>
    <w:qFormat/>
    <w:rsid w:val="002a4700"/>
    <w:rPr>
      <w:rFonts w:cs="Times New Roman"/>
    </w:rPr>
  </w:style>
  <w:style w:type="character" w:styleId="ListLabel59" w:customStyle="1">
    <w:name w:val="ListLabel 59"/>
    <w:qFormat/>
    <w:rsid w:val="002a4700"/>
    <w:rPr>
      <w:rFonts w:cs="Times New Roman"/>
    </w:rPr>
  </w:style>
  <w:style w:type="character" w:styleId="ListLabel60" w:customStyle="1">
    <w:name w:val="ListLabel 60"/>
    <w:qFormat/>
    <w:rsid w:val="002a4700"/>
    <w:rPr>
      <w:rFonts w:cs="Times New Roman"/>
    </w:rPr>
  </w:style>
  <w:style w:type="character" w:styleId="ListLabel61" w:customStyle="1">
    <w:name w:val="ListLabel 61"/>
    <w:qFormat/>
    <w:rsid w:val="002a4700"/>
    <w:rPr>
      <w:rFonts w:cs="Times New Roman"/>
    </w:rPr>
  </w:style>
  <w:style w:type="character" w:styleId="ListLabel62" w:customStyle="1">
    <w:name w:val="ListLabel 62"/>
    <w:qFormat/>
    <w:rsid w:val="002a4700"/>
    <w:rPr>
      <w:rFonts w:cs="Times New Roman"/>
    </w:rPr>
  </w:style>
  <w:style w:type="character" w:styleId="ListLabel63" w:customStyle="1">
    <w:name w:val="ListLabel 63"/>
    <w:qFormat/>
    <w:rsid w:val="002a4700"/>
    <w:rPr>
      <w:rFonts w:cs="Times New Roman"/>
    </w:rPr>
  </w:style>
  <w:style w:type="character" w:styleId="ListLabel64" w:customStyle="1">
    <w:name w:val="ListLabel 64"/>
    <w:qFormat/>
    <w:rsid w:val="002a4700"/>
    <w:rPr>
      <w:rFonts w:cs="Times New Roman"/>
      <w:sz w:val="28"/>
    </w:rPr>
  </w:style>
  <w:style w:type="character" w:styleId="ListLabel65" w:customStyle="1">
    <w:name w:val="ListLabel 65"/>
    <w:qFormat/>
    <w:rsid w:val="002a4700"/>
    <w:rPr>
      <w:rFonts w:cs="Times New Roman"/>
    </w:rPr>
  </w:style>
  <w:style w:type="character" w:styleId="ListLabel66" w:customStyle="1">
    <w:name w:val="ListLabel 66"/>
    <w:qFormat/>
    <w:rsid w:val="002a4700"/>
    <w:rPr>
      <w:rFonts w:cs="Times New Roman"/>
    </w:rPr>
  </w:style>
  <w:style w:type="character" w:styleId="ListLabel67" w:customStyle="1">
    <w:name w:val="ListLabel 67"/>
    <w:qFormat/>
    <w:rsid w:val="002a4700"/>
    <w:rPr>
      <w:rFonts w:cs="Times New Roman"/>
    </w:rPr>
  </w:style>
  <w:style w:type="character" w:styleId="ListLabel68" w:customStyle="1">
    <w:name w:val="ListLabel 68"/>
    <w:qFormat/>
    <w:rsid w:val="002a4700"/>
    <w:rPr>
      <w:rFonts w:cs="Times New Roman"/>
    </w:rPr>
  </w:style>
  <w:style w:type="character" w:styleId="ListLabel69" w:customStyle="1">
    <w:name w:val="ListLabel 69"/>
    <w:qFormat/>
    <w:rsid w:val="002a4700"/>
    <w:rPr>
      <w:rFonts w:cs="Times New Roman"/>
    </w:rPr>
  </w:style>
  <w:style w:type="character" w:styleId="ListLabel70" w:customStyle="1">
    <w:name w:val="ListLabel 70"/>
    <w:qFormat/>
    <w:rsid w:val="002a4700"/>
    <w:rPr>
      <w:rFonts w:cs="Times New Roman"/>
    </w:rPr>
  </w:style>
  <w:style w:type="character" w:styleId="ListLabel71" w:customStyle="1">
    <w:name w:val="ListLabel 71"/>
    <w:qFormat/>
    <w:rsid w:val="002a4700"/>
    <w:rPr>
      <w:rFonts w:cs="Times New Roman"/>
    </w:rPr>
  </w:style>
  <w:style w:type="character" w:styleId="ListLabel72" w:customStyle="1">
    <w:name w:val="ListLabel 72"/>
    <w:qFormat/>
    <w:rsid w:val="002a4700"/>
    <w:rPr>
      <w:rFonts w:cs="Times New Roman"/>
    </w:rPr>
  </w:style>
  <w:style w:type="character" w:styleId="ListLabel73" w:customStyle="1">
    <w:name w:val="ListLabel 73"/>
    <w:qFormat/>
    <w:rsid w:val="002a4700"/>
    <w:rPr>
      <w:rFonts w:cs="Symbol"/>
    </w:rPr>
  </w:style>
  <w:style w:type="character" w:styleId="ListLabel74" w:customStyle="1">
    <w:name w:val="ListLabel 74"/>
    <w:qFormat/>
    <w:rsid w:val="002a4700"/>
    <w:rPr>
      <w:rFonts w:cs="Symbol"/>
    </w:rPr>
  </w:style>
  <w:style w:type="character" w:styleId="ListLabel75" w:customStyle="1">
    <w:name w:val="ListLabel 75"/>
    <w:qFormat/>
    <w:rsid w:val="002a4700"/>
    <w:rPr>
      <w:rFonts w:cs="Symbol"/>
    </w:rPr>
  </w:style>
  <w:style w:type="character" w:styleId="ListLabel76" w:customStyle="1">
    <w:name w:val="ListLabel 76"/>
    <w:qFormat/>
    <w:rsid w:val="002a4700"/>
    <w:rPr>
      <w:rFonts w:cs="Symbol"/>
    </w:rPr>
  </w:style>
  <w:style w:type="character" w:styleId="ListLabel77" w:customStyle="1">
    <w:name w:val="ListLabel 77"/>
    <w:qFormat/>
    <w:rsid w:val="002a4700"/>
    <w:rPr>
      <w:rFonts w:cs="Symbol"/>
    </w:rPr>
  </w:style>
  <w:style w:type="character" w:styleId="ListLabel78" w:customStyle="1">
    <w:name w:val="ListLabel 78"/>
    <w:qFormat/>
    <w:rsid w:val="002a4700"/>
    <w:rPr>
      <w:rFonts w:cs="Symbol"/>
    </w:rPr>
  </w:style>
  <w:style w:type="character" w:styleId="ListLabel79" w:customStyle="1">
    <w:name w:val="ListLabel 79"/>
    <w:qFormat/>
    <w:rsid w:val="002a4700"/>
    <w:rPr>
      <w:rFonts w:cs="Symbol"/>
    </w:rPr>
  </w:style>
  <w:style w:type="character" w:styleId="ListLabel80" w:customStyle="1">
    <w:name w:val="ListLabel 80"/>
    <w:qFormat/>
    <w:rsid w:val="002a4700"/>
    <w:rPr>
      <w:rFonts w:cs="Symbol"/>
    </w:rPr>
  </w:style>
  <w:style w:type="character" w:styleId="ListLabel81" w:customStyle="1">
    <w:name w:val="ListLabel 81"/>
    <w:qFormat/>
    <w:rsid w:val="002a4700"/>
    <w:rPr>
      <w:rFonts w:cs="Symbol"/>
    </w:rPr>
  </w:style>
  <w:style w:type="character" w:styleId="ListLabel82" w:customStyle="1">
    <w:name w:val="ListLabel 82"/>
    <w:qFormat/>
    <w:rsid w:val="002a4700"/>
    <w:rPr>
      <w:rFonts w:cs="Symbol"/>
    </w:rPr>
  </w:style>
  <w:style w:type="character" w:styleId="ListLabel83" w:customStyle="1">
    <w:name w:val="ListLabel 83"/>
    <w:qFormat/>
    <w:rsid w:val="002a4700"/>
    <w:rPr>
      <w:rFonts w:cs="Symbol"/>
    </w:rPr>
  </w:style>
  <w:style w:type="character" w:styleId="ListLabel84" w:customStyle="1">
    <w:name w:val="ListLabel 84"/>
    <w:qFormat/>
    <w:rsid w:val="002a4700"/>
    <w:rPr>
      <w:rFonts w:cs="Symbol"/>
    </w:rPr>
  </w:style>
  <w:style w:type="character" w:styleId="ListLabel85" w:customStyle="1">
    <w:name w:val="ListLabel 85"/>
    <w:qFormat/>
    <w:rsid w:val="002a4700"/>
    <w:rPr>
      <w:rFonts w:cs="Symbol"/>
    </w:rPr>
  </w:style>
  <w:style w:type="character" w:styleId="ListLabel86" w:customStyle="1">
    <w:name w:val="ListLabel 86"/>
    <w:qFormat/>
    <w:rsid w:val="002a4700"/>
    <w:rPr>
      <w:rFonts w:cs="Symbol"/>
    </w:rPr>
  </w:style>
  <w:style w:type="character" w:styleId="ListLabel87" w:customStyle="1">
    <w:name w:val="ListLabel 87"/>
    <w:qFormat/>
    <w:rsid w:val="002a4700"/>
    <w:rPr>
      <w:rFonts w:cs="Symbol"/>
    </w:rPr>
  </w:style>
  <w:style w:type="character" w:styleId="ListLabel88" w:customStyle="1">
    <w:name w:val="ListLabel 88"/>
    <w:qFormat/>
    <w:rsid w:val="002a4700"/>
    <w:rPr>
      <w:rFonts w:cs="Symbol"/>
    </w:rPr>
  </w:style>
  <w:style w:type="character" w:styleId="ListLabel89" w:customStyle="1">
    <w:name w:val="ListLabel 89"/>
    <w:qFormat/>
    <w:rsid w:val="002a4700"/>
    <w:rPr>
      <w:rFonts w:cs="Symbol"/>
    </w:rPr>
  </w:style>
  <w:style w:type="character" w:styleId="ListLabel90" w:customStyle="1">
    <w:name w:val="ListLabel 90"/>
    <w:qFormat/>
    <w:rsid w:val="002a4700"/>
    <w:rPr>
      <w:rFonts w:cs="Symbol"/>
    </w:rPr>
  </w:style>
  <w:style w:type="character" w:styleId="ListLabel91" w:customStyle="1">
    <w:name w:val="ListLabel 91"/>
    <w:qFormat/>
    <w:rsid w:val="002a4700"/>
    <w:rPr>
      <w:rFonts w:cs="Times New Roman"/>
      <w:sz w:val="28"/>
    </w:rPr>
  </w:style>
  <w:style w:type="character" w:styleId="ListLabel92" w:customStyle="1">
    <w:name w:val="ListLabel 92"/>
    <w:qFormat/>
    <w:rsid w:val="002a4700"/>
    <w:rPr>
      <w:rFonts w:cs="Times New Roman"/>
    </w:rPr>
  </w:style>
  <w:style w:type="character" w:styleId="ListLabel93" w:customStyle="1">
    <w:name w:val="ListLabel 93"/>
    <w:qFormat/>
    <w:rsid w:val="002a4700"/>
    <w:rPr>
      <w:rFonts w:cs="Times New Roman"/>
    </w:rPr>
  </w:style>
  <w:style w:type="character" w:styleId="ListLabel94" w:customStyle="1">
    <w:name w:val="ListLabel 94"/>
    <w:qFormat/>
    <w:rsid w:val="002a4700"/>
    <w:rPr>
      <w:rFonts w:cs="Times New Roman"/>
    </w:rPr>
  </w:style>
  <w:style w:type="character" w:styleId="ListLabel95" w:customStyle="1">
    <w:name w:val="ListLabel 95"/>
    <w:qFormat/>
    <w:rsid w:val="002a4700"/>
    <w:rPr>
      <w:rFonts w:cs="Times New Roman"/>
    </w:rPr>
  </w:style>
  <w:style w:type="character" w:styleId="ListLabel96" w:customStyle="1">
    <w:name w:val="ListLabel 96"/>
    <w:qFormat/>
    <w:rsid w:val="002a4700"/>
    <w:rPr>
      <w:rFonts w:cs="Times New Roman"/>
    </w:rPr>
  </w:style>
  <w:style w:type="character" w:styleId="ListLabel97" w:customStyle="1">
    <w:name w:val="ListLabel 97"/>
    <w:qFormat/>
    <w:rsid w:val="002a4700"/>
    <w:rPr>
      <w:rFonts w:cs="Times New Roman"/>
    </w:rPr>
  </w:style>
  <w:style w:type="character" w:styleId="ListLabel98" w:customStyle="1">
    <w:name w:val="ListLabel 98"/>
    <w:qFormat/>
    <w:rsid w:val="002a4700"/>
    <w:rPr>
      <w:rFonts w:cs="Times New Roman"/>
    </w:rPr>
  </w:style>
  <w:style w:type="character" w:styleId="ListLabel99" w:customStyle="1">
    <w:name w:val="ListLabel 99"/>
    <w:qFormat/>
    <w:rsid w:val="002a4700"/>
    <w:rPr>
      <w:rFonts w:cs="Times New Roman"/>
    </w:rPr>
  </w:style>
  <w:style w:type="character" w:styleId="ListLabel100" w:customStyle="1">
    <w:name w:val="ListLabel 100"/>
    <w:qFormat/>
    <w:rsid w:val="002a4700"/>
    <w:rPr>
      <w:rFonts w:cs="Times New Roman"/>
      <w:sz w:val="28"/>
    </w:rPr>
  </w:style>
  <w:style w:type="character" w:styleId="ListLabel101" w:customStyle="1">
    <w:name w:val="ListLabel 101"/>
    <w:qFormat/>
    <w:rsid w:val="002a4700"/>
    <w:rPr>
      <w:rFonts w:cs="Times New Roman"/>
    </w:rPr>
  </w:style>
  <w:style w:type="character" w:styleId="ListLabel102" w:customStyle="1">
    <w:name w:val="ListLabel 102"/>
    <w:qFormat/>
    <w:rsid w:val="002a4700"/>
    <w:rPr>
      <w:rFonts w:cs="Times New Roman"/>
    </w:rPr>
  </w:style>
  <w:style w:type="character" w:styleId="ListLabel103" w:customStyle="1">
    <w:name w:val="ListLabel 103"/>
    <w:qFormat/>
    <w:rsid w:val="002a4700"/>
    <w:rPr>
      <w:rFonts w:cs="Times New Roman"/>
    </w:rPr>
  </w:style>
  <w:style w:type="character" w:styleId="ListLabel104" w:customStyle="1">
    <w:name w:val="ListLabel 104"/>
    <w:qFormat/>
    <w:rsid w:val="002a4700"/>
    <w:rPr>
      <w:rFonts w:cs="Times New Roman"/>
    </w:rPr>
  </w:style>
  <w:style w:type="character" w:styleId="ListLabel105" w:customStyle="1">
    <w:name w:val="ListLabel 105"/>
    <w:qFormat/>
    <w:rsid w:val="002a4700"/>
    <w:rPr>
      <w:rFonts w:cs="Times New Roman"/>
    </w:rPr>
  </w:style>
  <w:style w:type="character" w:styleId="ListLabel106" w:customStyle="1">
    <w:name w:val="ListLabel 106"/>
    <w:qFormat/>
    <w:rsid w:val="002a4700"/>
    <w:rPr>
      <w:rFonts w:cs="Times New Roman"/>
    </w:rPr>
  </w:style>
  <w:style w:type="character" w:styleId="ListLabel107" w:customStyle="1">
    <w:name w:val="ListLabel 107"/>
    <w:qFormat/>
    <w:rsid w:val="002a4700"/>
    <w:rPr>
      <w:rFonts w:cs="Times New Roman"/>
    </w:rPr>
  </w:style>
  <w:style w:type="character" w:styleId="ListLabel108" w:customStyle="1">
    <w:name w:val="ListLabel 108"/>
    <w:qFormat/>
    <w:rsid w:val="002a4700"/>
    <w:rPr>
      <w:rFonts w:cs="Times New Roman"/>
    </w:rPr>
  </w:style>
  <w:style w:type="character" w:styleId="ListLabel109" w:customStyle="1">
    <w:name w:val="ListLabel 109"/>
    <w:qFormat/>
    <w:rsid w:val="002a4700"/>
    <w:rPr>
      <w:rFonts w:cs="Symbol"/>
    </w:rPr>
  </w:style>
  <w:style w:type="character" w:styleId="ListLabel110" w:customStyle="1">
    <w:name w:val="ListLabel 110"/>
    <w:qFormat/>
    <w:rsid w:val="002a4700"/>
    <w:rPr>
      <w:rFonts w:cs="Symbol"/>
    </w:rPr>
  </w:style>
  <w:style w:type="character" w:styleId="ListLabel111" w:customStyle="1">
    <w:name w:val="ListLabel 111"/>
    <w:qFormat/>
    <w:rsid w:val="002a4700"/>
    <w:rPr>
      <w:rFonts w:cs="Symbol"/>
    </w:rPr>
  </w:style>
  <w:style w:type="character" w:styleId="ListLabel112" w:customStyle="1">
    <w:name w:val="ListLabel 112"/>
    <w:qFormat/>
    <w:rsid w:val="002a4700"/>
    <w:rPr>
      <w:rFonts w:cs="Symbol"/>
    </w:rPr>
  </w:style>
  <w:style w:type="character" w:styleId="ListLabel113" w:customStyle="1">
    <w:name w:val="ListLabel 113"/>
    <w:qFormat/>
    <w:rsid w:val="002a4700"/>
    <w:rPr>
      <w:rFonts w:cs="Symbol"/>
    </w:rPr>
  </w:style>
  <w:style w:type="character" w:styleId="ListLabel114" w:customStyle="1">
    <w:name w:val="ListLabel 114"/>
    <w:qFormat/>
    <w:rsid w:val="002a4700"/>
    <w:rPr>
      <w:rFonts w:cs="Symbol"/>
    </w:rPr>
  </w:style>
  <w:style w:type="character" w:styleId="ListLabel115" w:customStyle="1">
    <w:name w:val="ListLabel 115"/>
    <w:qFormat/>
    <w:rsid w:val="002a4700"/>
    <w:rPr>
      <w:rFonts w:cs="Symbol"/>
    </w:rPr>
  </w:style>
  <w:style w:type="character" w:styleId="ListLabel116" w:customStyle="1">
    <w:name w:val="ListLabel 116"/>
    <w:qFormat/>
    <w:rsid w:val="002a4700"/>
    <w:rPr>
      <w:rFonts w:cs="Symbol"/>
    </w:rPr>
  </w:style>
  <w:style w:type="character" w:styleId="ListLabel117" w:customStyle="1">
    <w:name w:val="ListLabel 117"/>
    <w:qFormat/>
    <w:rsid w:val="002a4700"/>
    <w:rPr>
      <w:rFonts w:cs="Symbol"/>
    </w:rPr>
  </w:style>
  <w:style w:type="character" w:styleId="ListLabel118" w:customStyle="1">
    <w:name w:val="ListLabel 118"/>
    <w:qFormat/>
    <w:rsid w:val="002a4700"/>
    <w:rPr>
      <w:rFonts w:cs="Symbol"/>
    </w:rPr>
  </w:style>
  <w:style w:type="character" w:styleId="ListLabel119" w:customStyle="1">
    <w:name w:val="ListLabel 119"/>
    <w:qFormat/>
    <w:rsid w:val="002a4700"/>
    <w:rPr>
      <w:rFonts w:cs="Symbol"/>
    </w:rPr>
  </w:style>
  <w:style w:type="character" w:styleId="ListLabel120" w:customStyle="1">
    <w:name w:val="ListLabel 120"/>
    <w:qFormat/>
    <w:rsid w:val="002a4700"/>
    <w:rPr>
      <w:rFonts w:cs="Symbol"/>
    </w:rPr>
  </w:style>
  <w:style w:type="character" w:styleId="ListLabel121" w:customStyle="1">
    <w:name w:val="ListLabel 121"/>
    <w:qFormat/>
    <w:rsid w:val="002a4700"/>
    <w:rPr>
      <w:rFonts w:cs="Symbol"/>
    </w:rPr>
  </w:style>
  <w:style w:type="character" w:styleId="ListLabel122" w:customStyle="1">
    <w:name w:val="ListLabel 122"/>
    <w:qFormat/>
    <w:rsid w:val="002a4700"/>
    <w:rPr>
      <w:rFonts w:cs="Symbol"/>
    </w:rPr>
  </w:style>
  <w:style w:type="character" w:styleId="ListLabel123" w:customStyle="1">
    <w:name w:val="ListLabel 123"/>
    <w:qFormat/>
    <w:rsid w:val="002a4700"/>
    <w:rPr>
      <w:rFonts w:cs="Symbol"/>
    </w:rPr>
  </w:style>
  <w:style w:type="character" w:styleId="ListLabel124" w:customStyle="1">
    <w:name w:val="ListLabel 124"/>
    <w:qFormat/>
    <w:rsid w:val="002a4700"/>
    <w:rPr>
      <w:rFonts w:cs="Symbol"/>
    </w:rPr>
  </w:style>
  <w:style w:type="character" w:styleId="ListLabel125" w:customStyle="1">
    <w:name w:val="ListLabel 125"/>
    <w:qFormat/>
    <w:rsid w:val="002a4700"/>
    <w:rPr>
      <w:rFonts w:cs="Symbol"/>
    </w:rPr>
  </w:style>
  <w:style w:type="character" w:styleId="ListLabel126" w:customStyle="1">
    <w:name w:val="ListLabel 126"/>
    <w:qFormat/>
    <w:rsid w:val="002a4700"/>
    <w:rPr>
      <w:rFonts w:cs="Symbol"/>
    </w:rPr>
  </w:style>
  <w:style w:type="character" w:styleId="ListLabel127" w:customStyle="1">
    <w:name w:val="ListLabel 127"/>
    <w:qFormat/>
    <w:rsid w:val="002a4700"/>
    <w:rPr>
      <w:rFonts w:cs="Times New Roman"/>
      <w:sz w:val="28"/>
    </w:rPr>
  </w:style>
  <w:style w:type="character" w:styleId="ListLabel128" w:customStyle="1">
    <w:name w:val="ListLabel 128"/>
    <w:qFormat/>
    <w:rsid w:val="002a4700"/>
    <w:rPr>
      <w:rFonts w:cs="Times New Roman"/>
    </w:rPr>
  </w:style>
  <w:style w:type="character" w:styleId="ListLabel129" w:customStyle="1">
    <w:name w:val="ListLabel 129"/>
    <w:qFormat/>
    <w:rsid w:val="002a4700"/>
    <w:rPr>
      <w:rFonts w:cs="Times New Roman"/>
    </w:rPr>
  </w:style>
  <w:style w:type="character" w:styleId="ListLabel130" w:customStyle="1">
    <w:name w:val="ListLabel 130"/>
    <w:qFormat/>
    <w:rsid w:val="002a4700"/>
    <w:rPr>
      <w:rFonts w:cs="Times New Roman"/>
    </w:rPr>
  </w:style>
  <w:style w:type="character" w:styleId="ListLabel131" w:customStyle="1">
    <w:name w:val="ListLabel 131"/>
    <w:qFormat/>
    <w:rsid w:val="002a4700"/>
    <w:rPr>
      <w:rFonts w:cs="Times New Roman"/>
    </w:rPr>
  </w:style>
  <w:style w:type="character" w:styleId="ListLabel132" w:customStyle="1">
    <w:name w:val="ListLabel 132"/>
    <w:qFormat/>
    <w:rsid w:val="002a4700"/>
    <w:rPr>
      <w:rFonts w:cs="Times New Roman"/>
    </w:rPr>
  </w:style>
  <w:style w:type="character" w:styleId="ListLabel133" w:customStyle="1">
    <w:name w:val="ListLabel 133"/>
    <w:qFormat/>
    <w:rsid w:val="002a4700"/>
    <w:rPr>
      <w:rFonts w:cs="Times New Roman"/>
    </w:rPr>
  </w:style>
  <w:style w:type="character" w:styleId="ListLabel134" w:customStyle="1">
    <w:name w:val="ListLabel 134"/>
    <w:qFormat/>
    <w:rsid w:val="002a4700"/>
    <w:rPr>
      <w:rFonts w:cs="Times New Roman"/>
    </w:rPr>
  </w:style>
  <w:style w:type="character" w:styleId="ListLabel135" w:customStyle="1">
    <w:name w:val="ListLabel 135"/>
    <w:qFormat/>
    <w:rsid w:val="002a4700"/>
    <w:rPr>
      <w:rFonts w:cs="Times New Roman"/>
    </w:rPr>
  </w:style>
  <w:style w:type="character" w:styleId="ListLabel136" w:customStyle="1">
    <w:name w:val="ListLabel 136"/>
    <w:qFormat/>
    <w:rsid w:val="002a4700"/>
    <w:rPr>
      <w:rFonts w:cs="Times New Roman"/>
      <w:sz w:val="28"/>
    </w:rPr>
  </w:style>
  <w:style w:type="character" w:styleId="ListLabel137" w:customStyle="1">
    <w:name w:val="ListLabel 137"/>
    <w:qFormat/>
    <w:rsid w:val="002a4700"/>
    <w:rPr>
      <w:rFonts w:cs="Times New Roman"/>
    </w:rPr>
  </w:style>
  <w:style w:type="character" w:styleId="ListLabel138" w:customStyle="1">
    <w:name w:val="ListLabel 138"/>
    <w:qFormat/>
    <w:rsid w:val="002a4700"/>
    <w:rPr>
      <w:rFonts w:cs="Times New Roman"/>
    </w:rPr>
  </w:style>
  <w:style w:type="character" w:styleId="ListLabel139" w:customStyle="1">
    <w:name w:val="ListLabel 139"/>
    <w:qFormat/>
    <w:rsid w:val="002a4700"/>
    <w:rPr>
      <w:rFonts w:cs="Times New Roman"/>
    </w:rPr>
  </w:style>
  <w:style w:type="character" w:styleId="ListLabel140" w:customStyle="1">
    <w:name w:val="ListLabel 140"/>
    <w:qFormat/>
    <w:rsid w:val="002a4700"/>
    <w:rPr>
      <w:rFonts w:cs="Times New Roman"/>
    </w:rPr>
  </w:style>
  <w:style w:type="character" w:styleId="ListLabel141" w:customStyle="1">
    <w:name w:val="ListLabel 141"/>
    <w:qFormat/>
    <w:rsid w:val="002a4700"/>
    <w:rPr>
      <w:rFonts w:cs="Times New Roman"/>
    </w:rPr>
  </w:style>
  <w:style w:type="character" w:styleId="ListLabel142" w:customStyle="1">
    <w:name w:val="ListLabel 142"/>
    <w:qFormat/>
    <w:rsid w:val="002a4700"/>
    <w:rPr>
      <w:rFonts w:cs="Times New Roman"/>
    </w:rPr>
  </w:style>
  <w:style w:type="character" w:styleId="ListLabel143" w:customStyle="1">
    <w:name w:val="ListLabel 143"/>
    <w:qFormat/>
    <w:rsid w:val="002a4700"/>
    <w:rPr>
      <w:rFonts w:cs="Times New Roman"/>
    </w:rPr>
  </w:style>
  <w:style w:type="character" w:styleId="ListLabel144" w:customStyle="1">
    <w:name w:val="ListLabel 144"/>
    <w:qFormat/>
    <w:rsid w:val="002a4700"/>
    <w:rPr>
      <w:rFonts w:cs="Times New Roman"/>
    </w:rPr>
  </w:style>
  <w:style w:type="character" w:styleId="ListLabel145" w:customStyle="1">
    <w:name w:val="ListLabel 145"/>
    <w:qFormat/>
    <w:rsid w:val="002a4700"/>
    <w:rPr>
      <w:rFonts w:cs="Symbol"/>
    </w:rPr>
  </w:style>
  <w:style w:type="character" w:styleId="ListLabel146" w:customStyle="1">
    <w:name w:val="ListLabel 146"/>
    <w:qFormat/>
    <w:rsid w:val="002a4700"/>
    <w:rPr>
      <w:rFonts w:cs="Symbol"/>
    </w:rPr>
  </w:style>
  <w:style w:type="character" w:styleId="ListLabel147" w:customStyle="1">
    <w:name w:val="ListLabel 147"/>
    <w:qFormat/>
    <w:rsid w:val="002a4700"/>
    <w:rPr>
      <w:rFonts w:cs="Symbol"/>
    </w:rPr>
  </w:style>
  <w:style w:type="character" w:styleId="ListLabel148" w:customStyle="1">
    <w:name w:val="ListLabel 148"/>
    <w:qFormat/>
    <w:rsid w:val="002a4700"/>
    <w:rPr>
      <w:rFonts w:cs="Symbol"/>
    </w:rPr>
  </w:style>
  <w:style w:type="character" w:styleId="ListLabel149" w:customStyle="1">
    <w:name w:val="ListLabel 149"/>
    <w:qFormat/>
    <w:rsid w:val="002a4700"/>
    <w:rPr>
      <w:rFonts w:cs="Symbol"/>
    </w:rPr>
  </w:style>
  <w:style w:type="character" w:styleId="ListLabel150" w:customStyle="1">
    <w:name w:val="ListLabel 150"/>
    <w:qFormat/>
    <w:rsid w:val="002a4700"/>
    <w:rPr>
      <w:rFonts w:cs="Symbol"/>
    </w:rPr>
  </w:style>
  <w:style w:type="character" w:styleId="ListLabel151" w:customStyle="1">
    <w:name w:val="ListLabel 151"/>
    <w:qFormat/>
    <w:rsid w:val="002a4700"/>
    <w:rPr>
      <w:rFonts w:cs="Symbol"/>
    </w:rPr>
  </w:style>
  <w:style w:type="character" w:styleId="ListLabel152" w:customStyle="1">
    <w:name w:val="ListLabel 152"/>
    <w:qFormat/>
    <w:rsid w:val="002a4700"/>
    <w:rPr>
      <w:rFonts w:cs="Symbol"/>
    </w:rPr>
  </w:style>
  <w:style w:type="character" w:styleId="ListLabel153" w:customStyle="1">
    <w:name w:val="ListLabel 153"/>
    <w:qFormat/>
    <w:rsid w:val="002a4700"/>
    <w:rPr>
      <w:rFonts w:cs="Symbol"/>
    </w:rPr>
  </w:style>
  <w:style w:type="character" w:styleId="ListLabel154" w:customStyle="1">
    <w:name w:val="ListLabel 154"/>
    <w:qFormat/>
    <w:rsid w:val="002a4700"/>
    <w:rPr>
      <w:rFonts w:cs="Symbol"/>
    </w:rPr>
  </w:style>
  <w:style w:type="character" w:styleId="ListLabel155" w:customStyle="1">
    <w:name w:val="ListLabel 155"/>
    <w:qFormat/>
    <w:rsid w:val="002a4700"/>
    <w:rPr>
      <w:rFonts w:cs="Symbol"/>
    </w:rPr>
  </w:style>
  <w:style w:type="character" w:styleId="ListLabel156" w:customStyle="1">
    <w:name w:val="ListLabel 156"/>
    <w:qFormat/>
    <w:rsid w:val="002a4700"/>
    <w:rPr>
      <w:rFonts w:cs="Symbol"/>
    </w:rPr>
  </w:style>
  <w:style w:type="character" w:styleId="ListLabel157" w:customStyle="1">
    <w:name w:val="ListLabel 157"/>
    <w:qFormat/>
    <w:rsid w:val="002a4700"/>
    <w:rPr>
      <w:rFonts w:cs="Symbol"/>
    </w:rPr>
  </w:style>
  <w:style w:type="character" w:styleId="ListLabel158" w:customStyle="1">
    <w:name w:val="ListLabel 158"/>
    <w:qFormat/>
    <w:rsid w:val="002a4700"/>
    <w:rPr>
      <w:rFonts w:cs="Symbol"/>
    </w:rPr>
  </w:style>
  <w:style w:type="character" w:styleId="ListLabel159" w:customStyle="1">
    <w:name w:val="ListLabel 159"/>
    <w:qFormat/>
    <w:rsid w:val="002a4700"/>
    <w:rPr>
      <w:rFonts w:cs="Symbol"/>
    </w:rPr>
  </w:style>
  <w:style w:type="character" w:styleId="ListLabel160" w:customStyle="1">
    <w:name w:val="ListLabel 160"/>
    <w:qFormat/>
    <w:rsid w:val="002a4700"/>
    <w:rPr>
      <w:rFonts w:cs="Symbol"/>
    </w:rPr>
  </w:style>
  <w:style w:type="character" w:styleId="ListLabel161" w:customStyle="1">
    <w:name w:val="ListLabel 161"/>
    <w:qFormat/>
    <w:rsid w:val="002a4700"/>
    <w:rPr>
      <w:rFonts w:cs="Symbol"/>
    </w:rPr>
  </w:style>
  <w:style w:type="character" w:styleId="ListLabel162" w:customStyle="1">
    <w:name w:val="ListLabel 162"/>
    <w:qFormat/>
    <w:rsid w:val="002a4700"/>
    <w:rPr>
      <w:rFonts w:cs="Symbol"/>
    </w:rPr>
  </w:style>
  <w:style w:type="character" w:styleId="ListLabel163" w:customStyle="1">
    <w:name w:val="ListLabel 163"/>
    <w:qFormat/>
    <w:rsid w:val="002a4700"/>
    <w:rPr>
      <w:rFonts w:cs="Times New Roman"/>
      <w:sz w:val="28"/>
    </w:rPr>
  </w:style>
  <w:style w:type="character" w:styleId="ListLabel164" w:customStyle="1">
    <w:name w:val="ListLabel 164"/>
    <w:qFormat/>
    <w:rsid w:val="002a4700"/>
    <w:rPr>
      <w:rFonts w:cs="Times New Roman"/>
    </w:rPr>
  </w:style>
  <w:style w:type="character" w:styleId="ListLabel165" w:customStyle="1">
    <w:name w:val="ListLabel 165"/>
    <w:qFormat/>
    <w:rsid w:val="002a4700"/>
    <w:rPr>
      <w:rFonts w:cs="Times New Roman"/>
    </w:rPr>
  </w:style>
  <w:style w:type="character" w:styleId="ListLabel166" w:customStyle="1">
    <w:name w:val="ListLabel 166"/>
    <w:qFormat/>
    <w:rsid w:val="002a4700"/>
    <w:rPr>
      <w:rFonts w:cs="Times New Roman"/>
    </w:rPr>
  </w:style>
  <w:style w:type="character" w:styleId="ListLabel167" w:customStyle="1">
    <w:name w:val="ListLabel 167"/>
    <w:qFormat/>
    <w:rsid w:val="002a4700"/>
    <w:rPr>
      <w:rFonts w:cs="Times New Roman"/>
    </w:rPr>
  </w:style>
  <w:style w:type="character" w:styleId="ListLabel168" w:customStyle="1">
    <w:name w:val="ListLabel 168"/>
    <w:qFormat/>
    <w:rsid w:val="002a4700"/>
    <w:rPr>
      <w:rFonts w:cs="Times New Roman"/>
    </w:rPr>
  </w:style>
  <w:style w:type="character" w:styleId="ListLabel169" w:customStyle="1">
    <w:name w:val="ListLabel 169"/>
    <w:qFormat/>
    <w:rsid w:val="002a4700"/>
    <w:rPr>
      <w:rFonts w:cs="Times New Roman"/>
    </w:rPr>
  </w:style>
  <w:style w:type="character" w:styleId="ListLabel170" w:customStyle="1">
    <w:name w:val="ListLabel 170"/>
    <w:qFormat/>
    <w:rsid w:val="002a4700"/>
    <w:rPr>
      <w:rFonts w:cs="Times New Roman"/>
    </w:rPr>
  </w:style>
  <w:style w:type="character" w:styleId="ListLabel171" w:customStyle="1">
    <w:name w:val="ListLabel 171"/>
    <w:qFormat/>
    <w:rsid w:val="002a4700"/>
    <w:rPr>
      <w:rFonts w:cs="Times New Roman"/>
    </w:rPr>
  </w:style>
  <w:style w:type="character" w:styleId="ListLabel172" w:customStyle="1">
    <w:name w:val="ListLabel 172"/>
    <w:qFormat/>
    <w:rsid w:val="002a4700"/>
    <w:rPr>
      <w:rFonts w:cs="Times New Roman"/>
      <w:sz w:val="28"/>
    </w:rPr>
  </w:style>
  <w:style w:type="character" w:styleId="ListLabel173" w:customStyle="1">
    <w:name w:val="ListLabel 173"/>
    <w:qFormat/>
    <w:rsid w:val="002a4700"/>
    <w:rPr>
      <w:rFonts w:cs="Times New Roman"/>
    </w:rPr>
  </w:style>
  <w:style w:type="character" w:styleId="ListLabel174" w:customStyle="1">
    <w:name w:val="ListLabel 174"/>
    <w:qFormat/>
    <w:rsid w:val="002a4700"/>
    <w:rPr>
      <w:rFonts w:cs="Times New Roman"/>
    </w:rPr>
  </w:style>
  <w:style w:type="character" w:styleId="ListLabel175" w:customStyle="1">
    <w:name w:val="ListLabel 175"/>
    <w:qFormat/>
    <w:rsid w:val="002a4700"/>
    <w:rPr>
      <w:rFonts w:cs="Times New Roman"/>
    </w:rPr>
  </w:style>
  <w:style w:type="character" w:styleId="ListLabel176" w:customStyle="1">
    <w:name w:val="ListLabel 176"/>
    <w:qFormat/>
    <w:rsid w:val="002a4700"/>
    <w:rPr>
      <w:rFonts w:cs="Times New Roman"/>
    </w:rPr>
  </w:style>
  <w:style w:type="character" w:styleId="ListLabel177" w:customStyle="1">
    <w:name w:val="ListLabel 177"/>
    <w:qFormat/>
    <w:rsid w:val="002a4700"/>
    <w:rPr>
      <w:rFonts w:cs="Times New Roman"/>
    </w:rPr>
  </w:style>
  <w:style w:type="character" w:styleId="ListLabel178" w:customStyle="1">
    <w:name w:val="ListLabel 178"/>
    <w:qFormat/>
    <w:rsid w:val="002a4700"/>
    <w:rPr>
      <w:rFonts w:cs="Times New Roman"/>
    </w:rPr>
  </w:style>
  <w:style w:type="character" w:styleId="ListLabel179" w:customStyle="1">
    <w:name w:val="ListLabel 179"/>
    <w:qFormat/>
    <w:rsid w:val="002a4700"/>
    <w:rPr>
      <w:rFonts w:cs="Times New Roman"/>
    </w:rPr>
  </w:style>
  <w:style w:type="character" w:styleId="ListLabel180" w:customStyle="1">
    <w:name w:val="ListLabel 180"/>
    <w:qFormat/>
    <w:rsid w:val="002a4700"/>
    <w:rPr>
      <w:rFonts w:cs="Times New Roman"/>
    </w:rPr>
  </w:style>
  <w:style w:type="character" w:styleId="ListLabel181">
    <w:name w:val="ListLabel 181"/>
    <w:qFormat/>
    <w:rPr>
      <w:rFonts w:cs="Symbol"/>
    </w:rPr>
  </w:style>
  <w:style w:type="character" w:styleId="ListLabel182">
    <w:name w:val="ListLabel 182"/>
    <w:qFormat/>
    <w:rPr>
      <w:rFonts w:cs="Symbol"/>
    </w:rPr>
  </w:style>
  <w:style w:type="character" w:styleId="ListLabel183">
    <w:name w:val="ListLabel 183"/>
    <w:qFormat/>
    <w:rPr>
      <w:rFonts w:cs="Symbol"/>
    </w:rPr>
  </w:style>
  <w:style w:type="character" w:styleId="ListLabel184">
    <w:name w:val="ListLabel 184"/>
    <w:qFormat/>
    <w:rPr>
      <w:rFonts w:cs="Symbol"/>
    </w:rPr>
  </w:style>
  <w:style w:type="character" w:styleId="ListLabel185">
    <w:name w:val="ListLabel 185"/>
    <w:qFormat/>
    <w:rPr>
      <w:rFonts w:cs="Symbol"/>
    </w:rPr>
  </w:style>
  <w:style w:type="character" w:styleId="ListLabel186">
    <w:name w:val="ListLabel 186"/>
    <w:qFormat/>
    <w:rPr>
      <w:rFonts w:cs="Symbol"/>
    </w:rPr>
  </w:style>
  <w:style w:type="character" w:styleId="ListLabel187">
    <w:name w:val="ListLabel 187"/>
    <w:qFormat/>
    <w:rPr>
      <w:rFonts w:cs="Symbol"/>
    </w:rPr>
  </w:style>
  <w:style w:type="character" w:styleId="ListLabel188">
    <w:name w:val="ListLabel 188"/>
    <w:qFormat/>
    <w:rPr>
      <w:rFonts w:cs="Symbol"/>
    </w:rPr>
  </w:style>
  <w:style w:type="character" w:styleId="ListLabel189">
    <w:name w:val="ListLabel 189"/>
    <w:qFormat/>
    <w:rPr>
      <w:rFonts w:cs="Symbol"/>
    </w:rPr>
  </w:style>
  <w:style w:type="character" w:styleId="ListLabel190">
    <w:name w:val="ListLabel 190"/>
    <w:qFormat/>
    <w:rPr>
      <w:rFonts w:cs="Symbol"/>
    </w:rPr>
  </w:style>
  <w:style w:type="character" w:styleId="ListLabel191">
    <w:name w:val="ListLabel 191"/>
    <w:qFormat/>
    <w:rPr>
      <w:rFonts w:cs="Symbol"/>
    </w:rPr>
  </w:style>
  <w:style w:type="character" w:styleId="ListLabel192">
    <w:name w:val="ListLabel 192"/>
    <w:qFormat/>
    <w:rPr>
      <w:rFonts w:cs="Symbol"/>
    </w:rPr>
  </w:style>
  <w:style w:type="character" w:styleId="ListLabel193">
    <w:name w:val="ListLabel 193"/>
    <w:qFormat/>
    <w:rPr>
      <w:rFonts w:cs="Symbol"/>
    </w:rPr>
  </w:style>
  <w:style w:type="character" w:styleId="ListLabel194">
    <w:name w:val="ListLabel 194"/>
    <w:qFormat/>
    <w:rPr>
      <w:rFonts w:cs="Symbol"/>
    </w:rPr>
  </w:style>
  <w:style w:type="character" w:styleId="ListLabel195">
    <w:name w:val="ListLabel 195"/>
    <w:qFormat/>
    <w:rPr>
      <w:rFonts w:cs="Symbol"/>
    </w:rPr>
  </w:style>
  <w:style w:type="character" w:styleId="ListLabel196">
    <w:name w:val="ListLabel 196"/>
    <w:qFormat/>
    <w:rPr>
      <w:rFonts w:cs="Symbol"/>
    </w:rPr>
  </w:style>
  <w:style w:type="character" w:styleId="ListLabel197">
    <w:name w:val="ListLabel 197"/>
    <w:qFormat/>
    <w:rPr>
      <w:rFonts w:cs="Symbol"/>
    </w:rPr>
  </w:style>
  <w:style w:type="character" w:styleId="ListLabel198">
    <w:name w:val="ListLabel 198"/>
    <w:qFormat/>
    <w:rPr>
      <w:rFonts w:cs="Symbol"/>
    </w:rPr>
  </w:style>
  <w:style w:type="character" w:styleId="ListLabel199">
    <w:name w:val="ListLabel 199"/>
    <w:qFormat/>
    <w:rPr>
      <w:rFonts w:cs="Times New Roman"/>
      <w:sz w:val="28"/>
    </w:rPr>
  </w:style>
  <w:style w:type="character" w:styleId="ListLabel200">
    <w:name w:val="ListLabel 200"/>
    <w:qFormat/>
    <w:rPr>
      <w:rFonts w:cs="Times New Roman"/>
    </w:rPr>
  </w:style>
  <w:style w:type="character" w:styleId="ListLabel201">
    <w:name w:val="ListLabel 201"/>
    <w:qFormat/>
    <w:rPr>
      <w:rFonts w:cs="Times New Roman"/>
    </w:rPr>
  </w:style>
  <w:style w:type="character" w:styleId="ListLabel202">
    <w:name w:val="ListLabel 202"/>
    <w:qFormat/>
    <w:rPr>
      <w:rFonts w:cs="Times New Roman"/>
    </w:rPr>
  </w:style>
  <w:style w:type="character" w:styleId="ListLabel203">
    <w:name w:val="ListLabel 203"/>
    <w:qFormat/>
    <w:rPr>
      <w:rFonts w:cs="Times New Roman"/>
    </w:rPr>
  </w:style>
  <w:style w:type="character" w:styleId="ListLabel204">
    <w:name w:val="ListLabel 204"/>
    <w:qFormat/>
    <w:rPr>
      <w:rFonts w:cs="Times New Roman"/>
    </w:rPr>
  </w:style>
  <w:style w:type="character" w:styleId="ListLabel205">
    <w:name w:val="ListLabel 205"/>
    <w:qFormat/>
    <w:rPr>
      <w:rFonts w:cs="Times New Roman"/>
    </w:rPr>
  </w:style>
  <w:style w:type="character" w:styleId="ListLabel206">
    <w:name w:val="ListLabel 206"/>
    <w:qFormat/>
    <w:rPr>
      <w:rFonts w:cs="Times New Roman"/>
    </w:rPr>
  </w:style>
  <w:style w:type="character" w:styleId="ListLabel207">
    <w:name w:val="ListLabel 207"/>
    <w:qFormat/>
    <w:rPr>
      <w:rFonts w:cs="Times New Roman"/>
    </w:rPr>
  </w:style>
  <w:style w:type="character" w:styleId="ListLabel208">
    <w:name w:val="ListLabel 208"/>
    <w:qFormat/>
    <w:rPr>
      <w:rFonts w:cs="Times New Roman"/>
      <w:sz w:val="28"/>
    </w:rPr>
  </w:style>
  <w:style w:type="character" w:styleId="ListLabel209">
    <w:name w:val="ListLabel 209"/>
    <w:qFormat/>
    <w:rPr>
      <w:rFonts w:cs="Times New Roman"/>
    </w:rPr>
  </w:style>
  <w:style w:type="character" w:styleId="ListLabel210">
    <w:name w:val="ListLabel 210"/>
    <w:qFormat/>
    <w:rPr>
      <w:rFonts w:cs="Times New Roman"/>
    </w:rPr>
  </w:style>
  <w:style w:type="character" w:styleId="ListLabel211">
    <w:name w:val="ListLabel 211"/>
    <w:qFormat/>
    <w:rPr>
      <w:rFonts w:cs="Times New Roman"/>
    </w:rPr>
  </w:style>
  <w:style w:type="character" w:styleId="ListLabel212">
    <w:name w:val="ListLabel 212"/>
    <w:qFormat/>
    <w:rPr>
      <w:rFonts w:cs="Times New Roman"/>
    </w:rPr>
  </w:style>
  <w:style w:type="character" w:styleId="ListLabel213">
    <w:name w:val="ListLabel 213"/>
    <w:qFormat/>
    <w:rPr>
      <w:rFonts w:cs="Times New Roman"/>
    </w:rPr>
  </w:style>
  <w:style w:type="character" w:styleId="ListLabel214">
    <w:name w:val="ListLabel 214"/>
    <w:qFormat/>
    <w:rPr>
      <w:rFonts w:cs="Times New Roman"/>
    </w:rPr>
  </w:style>
  <w:style w:type="character" w:styleId="ListLabel215">
    <w:name w:val="ListLabel 215"/>
    <w:qFormat/>
    <w:rPr>
      <w:rFonts w:cs="Times New Roman"/>
    </w:rPr>
  </w:style>
  <w:style w:type="character" w:styleId="ListLabel216">
    <w:name w:val="ListLabel 216"/>
    <w:qFormat/>
    <w:rPr>
      <w:rFonts w:cs="Times New Roman"/>
    </w:rPr>
  </w:style>
  <w:style w:type="character" w:styleId="ListLabel217">
    <w:name w:val="ListLabel 217"/>
    <w:qFormat/>
    <w:rPr>
      <w:rFonts w:cs="Times New Roman"/>
      <w:sz w:val="28"/>
    </w:rPr>
  </w:style>
  <w:style w:type="character" w:styleId="ListLabel218">
    <w:name w:val="ListLabel 218"/>
    <w:qFormat/>
    <w:rPr>
      <w:rFonts w:cs="Times New Roman"/>
    </w:rPr>
  </w:style>
  <w:style w:type="character" w:styleId="ListLabel219">
    <w:name w:val="ListLabel 219"/>
    <w:qFormat/>
    <w:rPr>
      <w:rFonts w:cs="Times New Roman"/>
    </w:rPr>
  </w:style>
  <w:style w:type="character" w:styleId="ListLabel220">
    <w:name w:val="ListLabel 220"/>
    <w:qFormat/>
    <w:rPr>
      <w:rFonts w:cs="Times New Roman"/>
    </w:rPr>
  </w:style>
  <w:style w:type="character" w:styleId="ListLabel221">
    <w:name w:val="ListLabel 221"/>
    <w:qFormat/>
    <w:rPr>
      <w:rFonts w:cs="Times New Roman"/>
    </w:rPr>
  </w:style>
  <w:style w:type="character" w:styleId="ListLabel222">
    <w:name w:val="ListLabel 222"/>
    <w:qFormat/>
    <w:rPr>
      <w:rFonts w:cs="Times New Roman"/>
    </w:rPr>
  </w:style>
  <w:style w:type="character" w:styleId="ListLabel223">
    <w:name w:val="ListLabel 223"/>
    <w:qFormat/>
    <w:rPr>
      <w:rFonts w:cs="Times New Roman"/>
    </w:rPr>
  </w:style>
  <w:style w:type="character" w:styleId="ListLabel224">
    <w:name w:val="ListLabel 224"/>
    <w:qFormat/>
    <w:rPr>
      <w:rFonts w:cs="Times New Roman"/>
    </w:rPr>
  </w:style>
  <w:style w:type="character" w:styleId="ListLabel225">
    <w:name w:val="ListLabel 225"/>
    <w:qFormat/>
    <w:rPr>
      <w:rFonts w:cs="Times New Roman"/>
    </w:rPr>
  </w:style>
  <w:style w:type="character" w:styleId="ListLabel226">
    <w:name w:val="ListLabel 226"/>
    <w:qFormat/>
    <w:rPr>
      <w:rFonts w:cs="Times New Roman"/>
      <w:sz w:val="28"/>
    </w:rPr>
  </w:style>
  <w:style w:type="character" w:styleId="ListLabel227">
    <w:name w:val="ListLabel 227"/>
    <w:qFormat/>
    <w:rPr>
      <w:rFonts w:cs="Times New Roman"/>
    </w:rPr>
  </w:style>
  <w:style w:type="character" w:styleId="ListLabel228">
    <w:name w:val="ListLabel 228"/>
    <w:qFormat/>
    <w:rPr>
      <w:rFonts w:cs="Times New Roman"/>
    </w:rPr>
  </w:style>
  <w:style w:type="character" w:styleId="ListLabel229">
    <w:name w:val="ListLabel 229"/>
    <w:qFormat/>
    <w:rPr>
      <w:rFonts w:cs="Times New Roman"/>
    </w:rPr>
  </w:style>
  <w:style w:type="character" w:styleId="ListLabel230">
    <w:name w:val="ListLabel 230"/>
    <w:qFormat/>
    <w:rPr>
      <w:rFonts w:cs="Times New Roman"/>
    </w:rPr>
  </w:style>
  <w:style w:type="character" w:styleId="ListLabel231">
    <w:name w:val="ListLabel 231"/>
    <w:qFormat/>
    <w:rPr>
      <w:rFonts w:cs="Times New Roman"/>
    </w:rPr>
  </w:style>
  <w:style w:type="character" w:styleId="ListLabel232">
    <w:name w:val="ListLabel 232"/>
    <w:qFormat/>
    <w:rPr>
      <w:rFonts w:cs="Times New Roman"/>
    </w:rPr>
  </w:style>
  <w:style w:type="character" w:styleId="ListLabel233">
    <w:name w:val="ListLabel 233"/>
    <w:qFormat/>
    <w:rPr>
      <w:rFonts w:cs="Times New Roman"/>
    </w:rPr>
  </w:style>
  <w:style w:type="character" w:styleId="ListLabel234">
    <w:name w:val="ListLabel 234"/>
    <w:qFormat/>
    <w:rPr>
      <w:rFonts w:cs="Times New Roman"/>
    </w:rPr>
  </w:style>
  <w:style w:type="character" w:styleId="ListLabel235">
    <w:name w:val="ListLabel 235"/>
    <w:qFormat/>
    <w:rPr>
      <w:rFonts w:cs="Times New Roman"/>
      <w:sz w:val="28"/>
    </w:rPr>
  </w:style>
  <w:style w:type="character" w:styleId="ListLabel236">
    <w:name w:val="ListLabel 236"/>
    <w:qFormat/>
    <w:rPr>
      <w:rFonts w:cs="Times New Roman"/>
    </w:rPr>
  </w:style>
  <w:style w:type="character" w:styleId="ListLabel237">
    <w:name w:val="ListLabel 237"/>
    <w:qFormat/>
    <w:rPr>
      <w:rFonts w:cs="Times New Roman"/>
    </w:rPr>
  </w:style>
  <w:style w:type="character" w:styleId="ListLabel238">
    <w:name w:val="ListLabel 238"/>
    <w:qFormat/>
    <w:rPr>
      <w:rFonts w:cs="Times New Roman"/>
    </w:rPr>
  </w:style>
  <w:style w:type="character" w:styleId="ListLabel239">
    <w:name w:val="ListLabel 239"/>
    <w:qFormat/>
    <w:rPr>
      <w:rFonts w:cs="Times New Roman"/>
    </w:rPr>
  </w:style>
  <w:style w:type="character" w:styleId="ListLabel240">
    <w:name w:val="ListLabel 240"/>
    <w:qFormat/>
    <w:rPr>
      <w:rFonts w:cs="Times New Roman"/>
    </w:rPr>
  </w:style>
  <w:style w:type="character" w:styleId="ListLabel241">
    <w:name w:val="ListLabel 241"/>
    <w:qFormat/>
    <w:rPr>
      <w:rFonts w:cs="Times New Roman"/>
    </w:rPr>
  </w:style>
  <w:style w:type="character" w:styleId="ListLabel242">
    <w:name w:val="ListLabel 242"/>
    <w:qFormat/>
    <w:rPr>
      <w:rFonts w:cs="Times New Roman"/>
    </w:rPr>
  </w:style>
  <w:style w:type="character" w:styleId="ListLabel243">
    <w:name w:val="ListLabel 243"/>
    <w:qFormat/>
    <w:rPr>
      <w:rFonts w:cs="Times New Roman"/>
    </w:rPr>
  </w:style>
  <w:style w:type="character" w:styleId="ListLabel244">
    <w:name w:val="ListLabel 244"/>
    <w:qFormat/>
    <w:rPr>
      <w:rFonts w:cs="Times New Roman"/>
      <w:sz w:val="28"/>
    </w:rPr>
  </w:style>
  <w:style w:type="character" w:styleId="ListLabel245">
    <w:name w:val="ListLabel 245"/>
    <w:qFormat/>
    <w:rPr>
      <w:rFonts w:cs="Times New Roman"/>
    </w:rPr>
  </w:style>
  <w:style w:type="character" w:styleId="ListLabel246">
    <w:name w:val="ListLabel 246"/>
    <w:qFormat/>
    <w:rPr>
      <w:rFonts w:cs="Times New Roman"/>
    </w:rPr>
  </w:style>
  <w:style w:type="character" w:styleId="ListLabel247">
    <w:name w:val="ListLabel 247"/>
    <w:qFormat/>
    <w:rPr>
      <w:rFonts w:cs="Times New Roman"/>
    </w:rPr>
  </w:style>
  <w:style w:type="character" w:styleId="ListLabel248">
    <w:name w:val="ListLabel 248"/>
    <w:qFormat/>
    <w:rPr>
      <w:rFonts w:cs="Times New Roman"/>
    </w:rPr>
  </w:style>
  <w:style w:type="character" w:styleId="ListLabel249">
    <w:name w:val="ListLabel 249"/>
    <w:qFormat/>
    <w:rPr>
      <w:rFonts w:cs="Times New Roman"/>
    </w:rPr>
  </w:style>
  <w:style w:type="character" w:styleId="ListLabel250">
    <w:name w:val="ListLabel 250"/>
    <w:qFormat/>
    <w:rPr>
      <w:rFonts w:cs="Times New Roman"/>
    </w:rPr>
  </w:style>
  <w:style w:type="character" w:styleId="ListLabel251">
    <w:name w:val="ListLabel 251"/>
    <w:qFormat/>
    <w:rPr>
      <w:rFonts w:cs="Times New Roman"/>
    </w:rPr>
  </w:style>
  <w:style w:type="character" w:styleId="ListLabel252">
    <w:name w:val="ListLabel 252"/>
    <w:qFormat/>
    <w:rPr>
      <w:rFonts w:cs="Times New Roman"/>
    </w:rPr>
  </w:style>
  <w:style w:type="paragraph" w:styleId="Style17" w:customStyle="1">
    <w:name w:val="Заголовок"/>
    <w:basedOn w:val="Normal"/>
    <w:next w:val="Style18"/>
    <w:qFormat/>
    <w:rsid w:val="002a4700"/>
    <w:pPr>
      <w:keepNext w:val="true"/>
      <w:spacing w:before="240" w:after="120"/>
    </w:pPr>
    <w:rPr>
      <w:rFonts w:ascii="Liberation Sans" w:hAnsi="Liberation Sans" w:eastAsia="WenQuanYi Micro Hei" w:cs="Lohit Devanagari"/>
      <w:sz w:val="28"/>
      <w:szCs w:val="28"/>
    </w:rPr>
  </w:style>
  <w:style w:type="paragraph" w:styleId="Style18">
    <w:name w:val="Body Text"/>
    <w:basedOn w:val="Normal"/>
    <w:rsid w:val="002a4700"/>
    <w:pPr>
      <w:shd w:val="clear" w:color="auto" w:fill="FFFFFF"/>
      <w:spacing w:lineRule="atLeast" w:line="240" w:before="0" w:after="480"/>
      <w:jc w:val="center"/>
    </w:pPr>
    <w:rPr>
      <w:rFonts w:cs="Times New Roman"/>
      <w:sz w:val="28"/>
      <w:szCs w:val="28"/>
    </w:rPr>
  </w:style>
  <w:style w:type="paragraph" w:styleId="Style19">
    <w:name w:val="List"/>
    <w:basedOn w:val="Style18"/>
    <w:rsid w:val="002a4700"/>
    <w:pPr>
      <w:shd w:val="clear" w:fill="FFFFFF"/>
    </w:pPr>
    <w:rPr>
      <w:rFonts w:cs="Lohit Devanagari"/>
    </w:rPr>
  </w:style>
  <w:style w:type="paragraph" w:styleId="Style20" w:customStyle="1">
    <w:name w:val="Caption"/>
    <w:basedOn w:val="Normal"/>
    <w:qFormat/>
    <w:rsid w:val="002a4700"/>
    <w:pPr>
      <w:suppressLineNumbers/>
      <w:spacing w:before="120" w:after="120"/>
    </w:pPr>
    <w:rPr>
      <w:rFonts w:cs="Lohit Devanagari"/>
      <w:i/>
      <w:iCs/>
    </w:rPr>
  </w:style>
  <w:style w:type="paragraph" w:styleId="Style21">
    <w:name w:val="Указатель"/>
    <w:basedOn w:val="Normal"/>
    <w:qFormat/>
    <w:pPr>
      <w:suppressLineNumbers/>
    </w:pPr>
    <w:rPr>
      <w:rFonts w:cs="Lohit Devanagari"/>
    </w:rPr>
  </w:style>
  <w:style w:type="paragraph" w:styleId="Indexheading">
    <w:name w:val="index heading"/>
    <w:basedOn w:val="Normal"/>
    <w:qFormat/>
    <w:rsid w:val="002a4700"/>
    <w:pPr>
      <w:suppressLineNumbers/>
    </w:pPr>
    <w:rPr>
      <w:rFonts w:cs="Lohit Devanagari"/>
    </w:rPr>
  </w:style>
  <w:style w:type="paragraph" w:styleId="DocumentMap" w:customStyle="1">
    <w:name w:val="DocumentMap"/>
    <w:qFormat/>
    <w:rsid w:val="002a4700"/>
    <w:pPr>
      <w:widowControl/>
      <w:bidi w:val="0"/>
      <w:spacing w:lineRule="auto" w:line="276" w:before="0" w:after="200"/>
      <w:jc w:val="left"/>
    </w:pPr>
    <w:rPr>
      <w:rFonts w:ascii="Courier New" w:hAnsi="Courier New" w:eastAsia="Courier New" w:cs="Courier New"/>
      <w:color w:val="00000A"/>
      <w:kern w:val="0"/>
      <w:sz w:val="22"/>
      <w:szCs w:val="22"/>
      <w:lang w:val="ru-RU" w:eastAsia="ru-RU" w:bidi="ar-SA"/>
    </w:rPr>
  </w:style>
  <w:style w:type="paragraph" w:styleId="21" w:customStyle="1">
    <w:name w:val="Основной текст (2)"/>
    <w:basedOn w:val="Normal"/>
    <w:qFormat/>
    <w:rsid w:val="002a4700"/>
    <w:pPr>
      <w:shd w:val="clear" w:color="auto" w:fill="FFFFFF"/>
      <w:spacing w:lineRule="exact" w:line="240" w:before="0" w:after="120"/>
      <w:jc w:val="center"/>
    </w:pPr>
    <w:rPr>
      <w:rFonts w:cs="Times New Roman"/>
      <w:b/>
      <w:bCs/>
      <w:sz w:val="22"/>
      <w:szCs w:val="22"/>
    </w:rPr>
  </w:style>
  <w:style w:type="paragraph" w:styleId="121" w:customStyle="1">
    <w:name w:val="Заголовок №1 (2)"/>
    <w:basedOn w:val="Normal"/>
    <w:qFormat/>
    <w:rsid w:val="002a4700"/>
    <w:pPr>
      <w:shd w:val="clear" w:color="auto" w:fill="FFFFFF"/>
      <w:spacing w:lineRule="exact" w:line="989" w:before="120" w:after="0"/>
      <w:jc w:val="center"/>
      <w:outlineLvl w:val="0"/>
    </w:pPr>
    <w:rPr>
      <w:rFonts w:cs="Times New Roman"/>
      <w:b/>
      <w:bCs/>
      <w:spacing w:val="20"/>
      <w:sz w:val="38"/>
      <w:szCs w:val="38"/>
    </w:rPr>
  </w:style>
  <w:style w:type="paragraph" w:styleId="ConsPlusNormal" w:customStyle="1">
    <w:name w:val="ConsPlusNormal"/>
    <w:qFormat/>
    <w:rsid w:val="002a4700"/>
    <w:pPr>
      <w:widowControl w:val="false"/>
      <w:suppressAutoHyphens w:val="true"/>
      <w:bidi w:val="0"/>
      <w:jc w:val="left"/>
    </w:pPr>
    <w:rPr>
      <w:rFonts w:ascii="Times New Roman" w:hAnsi="Times New Roman" w:eastAsia="Courier New" w:cs="Times New Roman"/>
      <w:color w:val="00000A"/>
      <w:kern w:val="0"/>
      <w:sz w:val="24"/>
      <w:szCs w:val="24"/>
      <w:lang w:val="ru-RU" w:eastAsia="hi-IN" w:bidi="hi-IN"/>
    </w:rPr>
  </w:style>
  <w:style w:type="paragraph" w:styleId="Style22" w:customStyle="1">
    <w:name w:val="Содержимое таблицы"/>
    <w:basedOn w:val="Normal"/>
    <w:qFormat/>
    <w:rsid w:val="002a4700"/>
    <w:pPr>
      <w:suppressAutoHyphens w:val="true"/>
    </w:pPr>
    <w:rPr>
      <w:rFonts w:cs="Times New Roman"/>
      <w:lang w:eastAsia="ar-SA"/>
    </w:rPr>
  </w:style>
  <w:style w:type="paragraph" w:styleId="ConsPlusNormal1" w:customStyle="1">
    <w:name w:val="ConsPlusNormal1"/>
    <w:qFormat/>
    <w:rsid w:val="002a4700"/>
    <w:pPr>
      <w:widowControl w:val="false"/>
      <w:suppressAutoHyphens w:val="true"/>
      <w:bidi w:val="0"/>
      <w:jc w:val="left"/>
    </w:pPr>
    <w:rPr>
      <w:rFonts w:ascii="Calibri" w:hAnsi="Calibri" w:eastAsia="Courier New" w:cs="Calibri"/>
      <w:color w:val="00000A"/>
      <w:kern w:val="0"/>
      <w:sz w:val="22"/>
      <w:szCs w:val="20"/>
      <w:lang w:val="ru-RU" w:eastAsia="ar-SA" w:bidi="ar-SA"/>
    </w:rPr>
  </w:style>
  <w:style w:type="paragraph" w:styleId="NormalWeb">
    <w:name w:val="Normal (Web)"/>
    <w:basedOn w:val="Normal"/>
    <w:qFormat/>
    <w:rsid w:val="002a4700"/>
    <w:pPr>
      <w:widowControl/>
      <w:spacing w:before="280" w:after="280"/>
    </w:pPr>
    <w:rPr>
      <w:rFonts w:cs="Times New Roman"/>
      <w:lang w:eastAsia="ar-SA"/>
    </w:rPr>
  </w:style>
  <w:style w:type="paragraph" w:styleId="13" w:customStyle="1">
    <w:name w:val="Обычный1"/>
    <w:qFormat/>
    <w:rsid w:val="002a4700"/>
    <w:pPr>
      <w:widowControl w:val="false"/>
      <w:suppressAutoHyphens w:val="true"/>
      <w:bidi w:val="0"/>
      <w:jc w:val="both"/>
    </w:pPr>
    <w:rPr>
      <w:rFonts w:ascii="Verdana" w:hAnsi="Verdana" w:eastAsia="Courier New" w:cs="Tahoma"/>
      <w:color w:val="00000A"/>
      <w:kern w:val="0"/>
      <w:sz w:val="24"/>
      <w:szCs w:val="24"/>
      <w:lang w:val="de-DE" w:eastAsia="fa-IR" w:bidi="fa-IR"/>
    </w:rPr>
  </w:style>
  <w:style w:type="paragraph" w:styleId="ConsPlusNonformat" w:customStyle="1">
    <w:name w:val="ConsPlusNonformat"/>
    <w:qFormat/>
    <w:rsid w:val="002a4700"/>
    <w:pPr>
      <w:widowControl w:val="false"/>
      <w:suppressAutoHyphens w:val="true"/>
      <w:bidi w:val="0"/>
      <w:jc w:val="left"/>
    </w:pPr>
    <w:rPr>
      <w:rFonts w:ascii="Courier New" w:hAnsi="Courier New" w:eastAsia="Courier New" w:cs="Courier New"/>
      <w:color w:val="00000A"/>
      <w:kern w:val="0"/>
      <w:sz w:val="24"/>
      <w:szCs w:val="20"/>
      <w:lang w:val="ru-RU" w:eastAsia="hi-IN" w:bidi="hi-IN"/>
    </w:rPr>
  </w:style>
  <w:style w:type="paragraph" w:styleId="Style23" w:customStyle="1">
    <w:name w:val="Header"/>
    <w:basedOn w:val="Normal"/>
    <w:rsid w:val="002a4700"/>
    <w:pPr>
      <w:tabs>
        <w:tab w:val="center" w:pos="4677" w:leader="none"/>
        <w:tab w:val="right" w:pos="9355" w:leader="none"/>
      </w:tabs>
    </w:pPr>
    <w:rPr/>
  </w:style>
  <w:style w:type="paragraph" w:styleId="Style24" w:customStyle="1">
    <w:name w:val="Footer"/>
    <w:basedOn w:val="Normal"/>
    <w:rsid w:val="002a4700"/>
    <w:pPr>
      <w:tabs>
        <w:tab w:val="center" w:pos="4677" w:leader="none"/>
        <w:tab w:val="right" w:pos="9355" w:leader="none"/>
      </w:tabs>
    </w:pPr>
    <w:rPr/>
  </w:style>
  <w:style w:type="paragraph" w:styleId="BodyTextIndent3">
    <w:name w:val="Body Text Indent 3"/>
    <w:basedOn w:val="Normal"/>
    <w:qFormat/>
    <w:rsid w:val="002a4700"/>
    <w:pPr>
      <w:widowControl/>
      <w:suppressAutoHyphens w:val="true"/>
      <w:spacing w:before="0" w:after="120"/>
      <w:ind w:left="283" w:hanging="0"/>
    </w:pPr>
    <w:rPr>
      <w:rFonts w:cs="Times New Roman"/>
      <w:sz w:val="16"/>
      <w:szCs w:val="16"/>
      <w:lang w:eastAsia="ar-SA"/>
    </w:rPr>
  </w:style>
  <w:style w:type="paragraph" w:styleId="ConsPlusTitle" w:customStyle="1">
    <w:name w:val="ConsPlusTitle"/>
    <w:qFormat/>
    <w:rsid w:val="001e4eb9"/>
    <w:pPr>
      <w:widowControl w:val="false"/>
      <w:suppressAutoHyphens w:val="true"/>
      <w:bidi w:val="0"/>
      <w:jc w:val="left"/>
    </w:pPr>
    <w:rPr>
      <w:rFonts w:ascii="Times New Roman" w:hAnsi="Times New Roman" w:eastAsia="Times New Roman" w:cs="Times New Roman"/>
      <w:b/>
      <w:bCs/>
      <w:color w:val="auto"/>
      <w:kern w:val="0"/>
      <w:sz w:val="24"/>
      <w:szCs w:val="24"/>
      <w:lang w:val="ru-RU" w:eastAsia="zh-CN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Application>LibreOffice/6.0.7.3$Linux_X86_64 LibreOffice_project/00m0$Build-3</Application>
  <Pages>25</Pages>
  <Words>4881</Words>
  <Characters>36237</Characters>
  <CharactersWithSpaces>42767</CharactersWithSpaces>
  <Paragraphs>435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2019-04-03T12:28:00Z</dcterms:created>
  <dc:creator>blednova-el</dc:creator>
  <dc:description/>
  <dc:language>ru-RU</dc:language>
  <cp:lastModifiedBy/>
  <cp:lastPrinted>2018-02-22T16:43:00Z</cp:lastPrinted>
  <dcterms:modified xsi:type="dcterms:W3CDTF">2020-01-16T11:27:34Z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Operator">
    <vt:lpwstr>RePack by Diakov</vt:lpwstr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