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8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Normal"/>
        <w:shd w:val="clear" w:fill="FEFEFE"/>
        <w:spacing w:before="0" w:after="0"/>
        <w:ind w:left="150" w:right="-2" w:hanging="0"/>
        <w:jc w:val="both"/>
        <w:rPr/>
      </w:pPr>
      <w:r>
        <w:rPr>
          <w:sz w:val="28"/>
          <w:szCs w:val="28"/>
        </w:rPr>
        <w:t xml:space="preserve">                                                                                           </w:t>
      </w:r>
      <w:r>
        <w:rPr>
          <w:sz w:val="28"/>
          <w:szCs w:val="28"/>
        </w:rPr>
        <w:t>Приложение 1</w:t>
      </w:r>
    </w:p>
    <w:p>
      <w:pPr>
        <w:pStyle w:val="Style18"/>
        <w:shd w:val="clear" w:fill="FEFEFE"/>
        <w:spacing w:before="0" w:after="0"/>
        <w:ind w:left="150" w:right="-2" w:hanging="0"/>
        <w:jc w:val="both"/>
        <w:rPr/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>к постановлению администрации</w:t>
      </w:r>
    </w:p>
    <w:p>
      <w:pPr>
        <w:pStyle w:val="Style18"/>
        <w:shd w:val="clear" w:fill="FEFEFE"/>
        <w:spacing w:before="0" w:after="0"/>
        <w:ind w:left="150" w:right="-2" w:hanging="0"/>
        <w:jc w:val="both"/>
        <w:rPr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Свердловского района</w:t>
      </w:r>
    </w:p>
    <w:p>
      <w:pPr>
        <w:pStyle w:val="Style18"/>
        <w:shd w:val="clear" w:fill="FEFEFE"/>
        <w:spacing w:before="0" w:after="0"/>
        <w:ind w:left="150" w:right="-2" w:hanging="0"/>
        <w:rPr/>
      </w:pPr>
      <w:r>
        <w:rPr/>
        <w:t xml:space="preserve">                                                                                           </w:t>
      </w: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07 июня </w:t>
      </w:r>
      <w:r>
        <w:rPr>
          <w:sz w:val="28"/>
          <w:szCs w:val="28"/>
        </w:rPr>
        <w:t xml:space="preserve">2019 г. № </w:t>
      </w:r>
      <w:r>
        <w:rPr>
          <w:sz w:val="28"/>
          <w:szCs w:val="28"/>
        </w:rPr>
        <w:t>542</w:t>
      </w:r>
    </w:p>
    <w:p>
      <w:pPr>
        <w:pStyle w:val="Style18"/>
        <w:shd w:val="clear" w:fill="FEFEFE"/>
        <w:tabs>
          <w:tab w:val="left" w:pos="2919" w:leader="none"/>
          <w:tab w:val="center" w:pos="5040" w:leader="none"/>
        </w:tabs>
        <w:spacing w:lineRule="auto" w:line="240" w:before="0" w:after="0"/>
        <w:ind w:left="150" w:right="450" w:hanging="0"/>
        <w:jc w:val="center"/>
        <w:rPr>
          <w:rFonts w:ascii="Times New Roman" w:hAnsi="Times New Roman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1"/>
        <w:tabs>
          <w:tab w:val="left" w:pos="2919" w:leader="none"/>
          <w:tab w:val="center" w:pos="5040" w:leader="none"/>
        </w:tabs>
        <w:spacing w:lineRule="auto" w:line="240"/>
        <w:jc w:val="center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Порядок</w:t>
      </w:r>
    </w:p>
    <w:p>
      <w:pPr>
        <w:pStyle w:val="Style11"/>
        <w:widowControl/>
        <w:spacing w:lineRule="auto" w:line="240" w:before="0" w:after="150"/>
        <w:ind w:left="0" w:right="0" w:hanging="0"/>
        <w:jc w:val="center"/>
        <w:rPr/>
      </w:pPr>
      <w:r>
        <w:rPr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организации сбора и определение места первичного сбора и размещения отработанных ртутьсодержащих ламп в Свердловском районе Орловской области</w:t>
      </w:r>
    </w:p>
    <w:p>
      <w:pPr>
        <w:pStyle w:val="Style11"/>
        <w:widowControl/>
        <w:spacing w:lineRule="auto" w:line="240" w:before="0" w:after="150"/>
        <w:ind w:left="0" w:right="0" w:hanging="0"/>
        <w:jc w:val="center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1. Общие положения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   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1.1. Порядок организации сбора и определение места первичного сбора и размещения отработанных ртутьсодержащих ламп в Свердловском районе Орловской области (далее - Порядок) разработан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 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1.2. Порядок разработан в соответствии с Федеральным законом от 24 июня 1998 года № 89-ФЗ "Об отходах производства и потребления", Постановлением Правительства Российской Федерации от 3 сентября 2010 года № 681 "Об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среде".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1.3. Правила, установленные настоящим Порядком, являются обязательными для исполнения организациями независимо от организационно-правовых форм и форм собственности, юридических лиц и индивидуальных предпринимателей, осуществляющих свою деятельность на территории Свердловского района Орловской области, не имеющих лицензии на осуществление деятельности по размещению и обезвреживанию отходов I - IV класса опасности, физических лиц, проживающих на территории Свердловского района Орловской области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(далее - потребители).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>
          <w:caps w:val="false"/>
          <w:smallCaps w:val="false"/>
          <w:color w:val="000000"/>
          <w:spacing w:val="0"/>
        </w:rPr>
      </w:pPr>
      <w:r>
        <w:rPr>
          <w:caps w:val="false"/>
          <w:smallCaps w:val="false"/>
          <w:color w:val="000000"/>
          <w:spacing w:val="0"/>
        </w:rPr>
        <w:t> </w:t>
      </w:r>
    </w:p>
    <w:p>
      <w:pPr>
        <w:pStyle w:val="Style11"/>
        <w:widowControl/>
        <w:spacing w:lineRule="auto" w:line="240" w:before="0" w:after="15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 Организация сбора отработанных ртутьсодержащих ламп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2.1. Сбору в соответствии с Порядком подлежат осветительные устройства и электрические лампы с ртутным заполнением и содержанием ртути не менее 0,01 процента, выведенные из эксплуатации и подлежащие утилизации.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2.2. Юридические лица и индивидуальные предприниматели, эксплуатирующие осветительные устройства и электрические лампы с ртутным заполнением, должны вести постоянный учет получаемых и отработанных ртутьсодержащих ламп.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2.3. Юридические лица или индивидуальные предприниматели, не имеющие лицензии на осуществление деятельности по размещению и обезвреживанию отходов I - IV класса опасности, осуществляют накопление отработанных ртутьсодержащих ламп.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2.4. Потребители - физические лица не вправе осуществлять временное хранение (накопление) отработанных ртутьсодержащих ламп.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2.5. На территории Свердловского района Орловской области потребители - физические лица производят сдачу отработанных ртутьсодержащих ламп юридическим лицам или индивидуальным предпринимателям, принявшим на себя обязательства по организации накопления отработанных ртутьсодержащих ламп в целях их дальнейшей сдачи для утилизации, организациям, имеющим лицензии на осуществление деятельности по размещению и обезвреживанию отходов I - IV класса опасности (далее - специализированные организации). 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2.6. Не допускается самостоятельное обезвреживание, использование, транспортирование и размещение отработанных ртутьсодержащих ламп потребителями отработанных ртутьсодержащих ламп, а также их накопление в местах, являющихся общим имуществом собственников помещений многоквартирного дома, за исключением размещения в местах первичного сбора и размещения и транспортирования до них.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2.7. Накопление отработанных ртутьсодержащих ламп должно производиться в соответствии с требованиями, установленными действующим законодательством.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2.8. Накопление отработанных ртутьсодержащих ламп производится отдельно от других видов отходов.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2.9. Хранение отработанных ртутьсодержащих ламп производится в специально выделенном для этих целей помещении, защищенном от химически агрессивных веществ, атмосферных осадков, поверхностных и грунтовых вод, в местах, исключающих повреждение тары.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2.10. Не допускается совместное хранение поврежденных и неповрежденных ртутьсодержащих ламп. Хранение поврежденных ртутьсодержащих ламп осуществляется в таре.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2.11. Юридические лица и индивидуальные предприниматели назначают в установленном порядке ответственных лиц за обращение с указанными отходами, разрабатывают инструкции по организации накопления отработанных ртутьсодержащих отходов применительно к конкретным условиям.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2.12. Не допускается самостоятельное обезвреживание, использование, транспортирование и размещение отработанных ртутьсодержащих ламп потребителями.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2.13. Сбор, транспортирование, размещение, обезвреживание и использование отработанных ртутьсодержащих ламп осуществляется специализированными организациями, в том числе на основании соответствующих договоров с потребителями ртутьсодержащих ламп.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2.14. Место для предварительного сбора и временного размещения отработанных ртутьсодержащих ламп перед передачей их специализированным организациям для дальнейшего сбора, использования, обезвреживания, транспортирования и размещения определяется в соответствии с Федеральным законом от 24.06.1998 № 89-ФЗ "Об отходах производства и потребления", Федеральным законом от 10.01.2002 № 7-ФЗ "Об охране окружающей среды".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2.15. Органы местного самоуправления организуют сбор и определяют место первичного сбора и размещения отработанных ртутьсодержащих ламп у потребителей ртутьсодержащих ламп (кроме потребителей ртутьсодержащих ламп, являющихся собственниками, нанимателями,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(или) выполнения работ по содержанию и ремонту общего имущества в таких домах), а также их информирование.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2.15.1. У потребителей ртутьсодержащих ламп, являющихся собственниками, нанимателями, пользователями помещений в многоквартирных домах, сбор и размещение отработанных ртутьсодержащих ламп обеспечивают лица, осуществляющие управление многоквартирными домами на основании заключенного с собственниками помещений многоквартирных домов договора управления или договора оказания услуг и (или) выполнения работ по содержанию и ремонту общего имущества в таких домах, в местах, являющихся общим имуществом собственников многоквартирных домов и содержащихся в соответствии с требованиями к содержанию общего имущества, предусмотренными Правилами содержания общего имущества в многоквартирном доме, утвержденными постановлением Правительства Российской Федерации от 13 августа 2006 г. № 491.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2.15.2. Место первичного сбора и размещения отработанных ртутьсодержащих ламп у потребителей ртутьсодержащих ламп, являющихся собственниками, нанимателями, пользователями помещений в многоквартирных домах, определяется собственниками помещений в многоквартирных домах или по их поручению лицами, осуществляющими управление многоквартирными домами на основании заключенного договора управления или договора оказания услуг и (или) выполнения работ по содержанию и ремонту общего имущества в таких домах, по согласованию с соответствующей специализированной организацией.</w:t>
      </w:r>
    </w:p>
    <w:p>
      <w:pPr>
        <w:pStyle w:val="Style11"/>
        <w:widowControl/>
        <w:spacing w:lineRule="auto" w:line="240" w:before="0" w:after="150"/>
        <w:ind w:left="0" w:right="0" w:hanging="0"/>
        <w:jc w:val="center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3. Информирование населения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3.1. Информирование о порядке сбора и определения места первичного сбора и размещения отработанных ртутьсодержащих ламп осуществляется юридическими лицами и индивидуальными предпринимателями, осуществляющими управление многоквартирными домами на основании заключенного договора или заключившие с собственниками помещений многоквартирного дома договоры на оказание услуг по содержанию и ремонту общего имущества в таком доме, специализированными организациями, а также юридическими лицами и индивидуальными предпринимателями, осуществляющими накопление и реализацию ртутьсодержащих ламп.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3.2. Информация о порядке сбора и определения места первичного сбора и размещения отработанных ртутьсодержащих ламп размещается на официальном сайте администрации Свердловского района в сети Интернет, в местах реализации ртутьсодержащих ламп, по месту нахождения специализированных организаций.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3.3. Юридические лица и индивидуальные предприниматели, осуществляющие управление многоквартирными домами на основании заключенного договора или заключившие с собственниками помещений многоквартирного дома договоры на оказание услуг по содержанию и ремонту общего имущества в таком доме, доводят информацию о Правилах обращения с отработанными ртутьсодержащими лампами до сведения собственников помещений многоквартирных жилых домов путем размещения информации, указанной в п. 3.4 настоящего Порядка, на информационныхстендах (стойках) в помещении управляющей организации.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3.4. Размещению подлежит следующая информация: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 Порядок организации сбора отработанных ртутьсодержащих ламп;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Перечень специализированных организаций, осуществляющих сбор, транспортировку, хранение и размещение ртутьсодержащих отходов, проведение демеркуризационных мероприятий, с указанием места нахождения и контактных телефонов;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Места и условия приема отработанных ртутьсодержащих ламп;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Стоимость услуг по приему отработанных ртутьсодержащих ламп.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3.5. Обращения населения, руководителей предприятий, организаций по нарушениям санитарно-эпидемиологического законодательства и прав потребителей при осуществлении деятельности по накоплению, сбору, временному хранению и обезвреживанию отработанных ртутьсодержащих ламп принимаются Федеральной службой по надзору в сфере защиты прав потребителей и благополучия человека по Орловской области.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3.6. Обращения населения, руководителей предприятий, организаций по организации определения места первичного сбора и размещения отработанных ртутьсодержащих ламп принимаются администрацией Свердловского района Орловской области.</w:t>
      </w:r>
    </w:p>
    <w:p>
      <w:pPr>
        <w:pStyle w:val="Style11"/>
        <w:widowControl/>
        <w:spacing w:lineRule="auto" w:line="240" w:before="0" w:after="15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4. Ответственность за нарушение правил обращения с отработанными ртутьсодержащими лампами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4.1. Контроль за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собственности, находящихся на территории Орловской области.</w:t>
      </w:r>
    </w:p>
    <w:p>
      <w:pPr>
        <w:pStyle w:val="Style11"/>
        <w:widowControl/>
        <w:spacing w:lineRule="auto" w:line="240" w:before="0" w:after="150"/>
        <w:ind w:left="0" w:right="0" w:hanging="0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4.2.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законодательством.</w:t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Open Sans;sans-serif" w:hAnsi="Open Sans;sans-serif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1"/>
          <w:szCs w:val="28"/>
        </w:rPr>
      </w:pP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Open Sans;sans-serif" w:hAnsi="Open Sans;sans-serif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1"/>
          <w:szCs w:val="28"/>
        </w:rPr>
      </w:pP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Open Sans;sans-serif" w:hAnsi="Open Sans;sans-serif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1"/>
          <w:szCs w:val="28"/>
        </w:rPr>
      </w:pP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Open Sans;sans-serif" w:hAnsi="Open Sans;sans-serif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1"/>
          <w:szCs w:val="28"/>
        </w:rPr>
      </w:pP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Open Sans;sans-serif" w:hAnsi="Open Sans;sans-serif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1"/>
          <w:szCs w:val="28"/>
        </w:rPr>
      </w:pP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Open Sans;sans-serif" w:hAnsi="Open Sans;sans-serif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1"/>
          <w:szCs w:val="28"/>
        </w:rPr>
      </w:pP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Open Sans;sans-serif" w:hAnsi="Open Sans;sans-serif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1"/>
          <w:szCs w:val="28"/>
        </w:rPr>
      </w:pP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Open Sans;sans-serif" w:hAnsi="Open Sans;sans-serif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1"/>
          <w:szCs w:val="28"/>
        </w:rPr>
      </w:pP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Open Sans;sans-serif" w:hAnsi="Open Sans;sans-serif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1"/>
          <w:szCs w:val="28"/>
        </w:rPr>
      </w:pP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Open Sans;sans-serif" w:hAnsi="Open Sans;sans-serif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1"/>
          <w:szCs w:val="28"/>
        </w:rPr>
      </w:pP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Open Sans;sans-serif" w:hAnsi="Open Sans;sans-serif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1"/>
          <w:szCs w:val="28"/>
        </w:rPr>
      </w:pP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Open Sans;sans-serif" w:hAnsi="Open Sans;sans-serif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1"/>
          <w:szCs w:val="28"/>
        </w:rPr>
      </w:pP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Open Sans;sans-serif" w:hAnsi="Open Sans;sans-serif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1"/>
          <w:szCs w:val="28"/>
        </w:rPr>
      </w:pP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Open Sans;sans-serif" w:hAnsi="Open Sans;sans-serif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1"/>
          <w:szCs w:val="28"/>
        </w:rPr>
      </w:pP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Open Sans;sans-serif" w:hAnsi="Open Sans;sans-serif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1"/>
          <w:szCs w:val="28"/>
        </w:rPr>
      </w:pP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8"/>
        </w:rPr>
      </w:r>
    </w:p>
    <w:p>
      <w:pPr>
        <w:pStyle w:val="Normal"/>
        <w:shd w:val="clear" w:fill="FEFEFE"/>
        <w:spacing w:before="0" w:after="0"/>
        <w:ind w:left="150" w:right="-2" w:hanging="0"/>
        <w:jc w:val="both"/>
        <w:rPr/>
      </w:pPr>
      <w:r>
        <w:rPr>
          <w:sz w:val="28"/>
          <w:szCs w:val="28"/>
        </w:rPr>
        <w:t xml:space="preserve">                                                                                        </w:t>
      </w:r>
      <w:r>
        <w:rPr>
          <w:sz w:val="28"/>
          <w:szCs w:val="28"/>
        </w:rPr>
        <w:t>Приложение 2</w:t>
      </w:r>
    </w:p>
    <w:p>
      <w:pPr>
        <w:pStyle w:val="Style18"/>
        <w:shd w:val="clear" w:fill="FEFEFE"/>
        <w:spacing w:before="0" w:after="0"/>
        <w:ind w:left="150" w:right="-2" w:hanging="0"/>
        <w:jc w:val="both"/>
        <w:rPr/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>к постановлению администрации</w:t>
      </w:r>
    </w:p>
    <w:p>
      <w:pPr>
        <w:pStyle w:val="Style18"/>
        <w:shd w:val="clear" w:fill="FEFEFE"/>
        <w:spacing w:before="0" w:after="0"/>
        <w:ind w:left="150" w:right="-2" w:hanging="0"/>
        <w:jc w:val="both"/>
        <w:rPr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Свердловского района</w:t>
      </w:r>
    </w:p>
    <w:p>
      <w:pPr>
        <w:pStyle w:val="Style18"/>
        <w:shd w:val="clear" w:fill="FEFEFE"/>
        <w:spacing w:before="0" w:after="0"/>
        <w:ind w:left="150" w:right="-2" w:hanging="0"/>
        <w:rPr/>
      </w:pPr>
      <w:r>
        <w:rPr/>
        <w:t xml:space="preserve">                                                                                           </w:t>
      </w:r>
      <w:r>
        <w:rPr>
          <w:sz w:val="28"/>
          <w:szCs w:val="28"/>
        </w:rPr>
        <w:t>от __________ 2019 г. №____</w:t>
      </w:r>
    </w:p>
    <w:p>
      <w:pPr>
        <w:pStyle w:val="Style18"/>
        <w:widowControl/>
        <w:shd w:val="clear" w:fill="FEFEFE"/>
        <w:tabs>
          <w:tab w:val="left" w:pos="2919" w:leader="none"/>
          <w:tab w:val="center" w:pos="5040" w:leader="none"/>
        </w:tabs>
        <w:spacing w:lineRule="auto" w:line="240" w:before="0" w:after="0"/>
        <w:ind w:left="150" w:right="450" w:hanging="0"/>
        <w:jc w:val="center"/>
        <w:rPr>
          <w:rFonts w:ascii="Times New Roman" w:hAnsi="Times New Roman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1"/>
        <w:widowControl/>
        <w:spacing w:lineRule="auto" w:line="240" w:before="0" w:after="150"/>
        <w:ind w:left="0" w:right="0" w:hanging="0"/>
        <w:jc w:val="center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Место первичного сбора и размещения отработанных</w:t>
      </w:r>
    </w:p>
    <w:p>
      <w:pPr>
        <w:pStyle w:val="Style11"/>
        <w:widowControl/>
        <w:spacing w:lineRule="auto" w:line="240" w:before="0" w:after="15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ртутьсодержащих ламп у потребителей ртутьсодержащих ламп</w:t>
      </w:r>
    </w:p>
    <w:p>
      <w:pPr>
        <w:pStyle w:val="Style11"/>
        <w:widowControl/>
        <w:spacing w:before="0" w:after="150"/>
        <w:ind w:left="0" w:right="0" w:hanging="0"/>
        <w:rPr>
          <w:caps w:val="false"/>
          <w:smallCaps w:val="false"/>
          <w:color w:val="000000"/>
          <w:spacing w:val="0"/>
        </w:rPr>
      </w:pPr>
      <w:r>
        <w:rPr>
          <w:b/>
          <w:bCs/>
          <w:caps w:val="false"/>
          <w:smallCaps w:val="false"/>
          <w:color w:val="000000"/>
          <w:spacing w:val="0"/>
          <w:sz w:val="28"/>
          <w:szCs w:val="28"/>
        </w:rPr>
        <w:t> </w:t>
      </w:r>
    </w:p>
    <w:tbl>
      <w:tblPr>
        <w:tblW w:w="9355" w:type="dxa"/>
        <w:jc w:val="left"/>
        <w:tblInd w:w="0" w:type="dxa"/>
        <w:tblBorders>
          <w:top w:val="single" w:sz="2" w:space="0" w:color="DDDDDD"/>
          <w:left w:val="single" w:sz="2" w:space="0" w:color="DDDDDD"/>
          <w:bottom w:val="single" w:sz="2" w:space="0" w:color="DDDDDD"/>
          <w:right w:val="single" w:sz="2" w:space="0" w:color="DDDDDD"/>
          <w:insideH w:val="single" w:sz="2" w:space="0" w:color="DDDDDD"/>
          <w:insideV w:val="single" w:sz="2" w:space="0" w:color="DDDDDD"/>
        </w:tblBorders>
        <w:tblCellMar>
          <w:top w:w="28" w:type="dxa"/>
          <w:left w:w="74" w:type="dxa"/>
          <w:bottom w:w="28" w:type="dxa"/>
          <w:right w:w="75" w:type="dxa"/>
        </w:tblCellMar>
      </w:tblPr>
      <w:tblGrid>
        <w:gridCol w:w="594"/>
        <w:gridCol w:w="6589"/>
        <w:gridCol w:w="2172"/>
      </w:tblGrid>
      <w:tr>
        <w:trPr/>
        <w:tc>
          <w:tcPr>
            <w:tcW w:w="594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  <w:insideH w:val="single" w:sz="2" w:space="0" w:color="DDDDDD"/>
              <w:insideV w:val="single" w:sz="2" w:space="0" w:color="DDDDDD"/>
            </w:tcBorders>
            <w:shd w:fill="auto" w:val="clear"/>
            <w:vAlign w:val="center"/>
          </w:tcPr>
          <w:p>
            <w:pPr>
              <w:pStyle w:val="Style15"/>
              <w:spacing w:before="0" w:after="0"/>
              <w:ind w:left="0" w:right="0" w:hanging="0"/>
              <w:rPr>
                <w:b w:val="false"/>
                <w:b w:val="false"/>
                <w:bCs w:val="false"/>
              </w:rPr>
            </w:pPr>
            <w:r>
              <w:rPr>
                <w:color w:val="000000"/>
                <w:sz w:val="28"/>
                <w:szCs w:val="28"/>
              </w:rPr>
              <w:t xml:space="preserve">№ </w:t>
            </w:r>
            <w:r>
              <w:rPr>
                <w:b w:val="false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6589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  <w:insideH w:val="single" w:sz="2" w:space="0" w:color="DDDDDD"/>
              <w:insideV w:val="single" w:sz="2" w:space="0" w:color="DDDDDD"/>
            </w:tcBorders>
            <w:shd w:fill="auto" w:val="clear"/>
            <w:vAlign w:val="center"/>
          </w:tcPr>
          <w:p>
            <w:pPr>
              <w:pStyle w:val="Style15"/>
              <w:spacing w:before="0" w:after="0"/>
              <w:ind w:left="0" w:right="0" w:hanging="0"/>
              <w:rPr>
                <w:b w:val="false"/>
                <w:b w:val="false"/>
                <w:bCs w:val="false"/>
              </w:rPr>
            </w:pPr>
            <w:r>
              <w:rPr>
                <w:b w:val="false"/>
                <w:color w:val="000000"/>
                <w:sz w:val="28"/>
                <w:szCs w:val="28"/>
              </w:rPr>
              <w:t>Место первичного сбора и размещения контейнеров</w:t>
            </w:r>
          </w:p>
        </w:tc>
        <w:tc>
          <w:tcPr>
            <w:tcW w:w="2172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  <w:insideH w:val="single" w:sz="2" w:space="0" w:color="DDDDDD"/>
              <w:insideV w:val="single" w:sz="2" w:space="0" w:color="DDDDDD"/>
            </w:tcBorders>
            <w:shd w:fill="auto" w:val="clear"/>
            <w:vAlign w:val="center"/>
          </w:tcPr>
          <w:p>
            <w:pPr>
              <w:pStyle w:val="Style15"/>
              <w:spacing w:before="0" w:after="0"/>
              <w:ind w:left="0" w:right="0" w:hanging="0"/>
              <w:rPr>
                <w:sz w:val="28"/>
                <w:szCs w:val="28"/>
              </w:rPr>
            </w:pPr>
            <w:r>
              <w:rPr>
                <w:b w:val="false"/>
                <w:color w:val="000000"/>
                <w:sz w:val="28"/>
                <w:szCs w:val="28"/>
              </w:rPr>
              <w:t>Количество контейнеров</w:t>
            </w:r>
            <w:r>
              <w:rPr>
                <w:b w:val="false"/>
                <w:color w:val="000000"/>
                <w:sz w:val="24"/>
                <w:szCs w:val="24"/>
              </w:rPr>
              <w:t>, шт.</w:t>
            </w:r>
          </w:p>
          <w:p>
            <w:pPr>
              <w:pStyle w:val="Style15"/>
              <w:spacing w:before="0" w:after="0"/>
              <w:ind w:left="0" w:right="0" w:hanging="0"/>
              <w:rPr>
                <w:b w:val="false"/>
                <w:b w:val="false"/>
                <w:bCs w:val="false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</w:tr>
      <w:tr>
        <w:trPr/>
        <w:tc>
          <w:tcPr>
            <w:tcW w:w="594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  <w:insideH w:val="single" w:sz="2" w:space="0" w:color="DDDDDD"/>
              <w:insideV w:val="single" w:sz="2" w:space="0" w:color="DDDDDD"/>
            </w:tcBorders>
            <w:shd w:fill="auto" w:val="clear"/>
            <w:vAlign w:val="center"/>
          </w:tcPr>
          <w:p>
            <w:pPr>
              <w:pStyle w:val="Style15"/>
              <w:spacing w:before="0" w:after="0"/>
              <w:ind w:left="0" w:right="0" w:hanging="0"/>
              <w:rPr>
                <w:b w:val="false"/>
                <w:b w:val="false"/>
                <w:bCs w:val="false"/>
              </w:rPr>
            </w:pPr>
            <w:r>
              <w:rPr>
                <w:b w:val="false"/>
                <w:color w:val="000000"/>
                <w:sz w:val="28"/>
                <w:szCs w:val="28"/>
              </w:rPr>
              <w:t>1.</w:t>
            </w:r>
          </w:p>
        </w:tc>
        <w:tc>
          <w:tcPr>
            <w:tcW w:w="6589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  <w:insideH w:val="single" w:sz="2" w:space="0" w:color="DDDDDD"/>
              <w:insideV w:val="single" w:sz="2" w:space="0" w:color="DDDDDD"/>
            </w:tcBorders>
            <w:shd w:fill="auto" w:val="clear"/>
            <w:vAlign w:val="center"/>
          </w:tcPr>
          <w:p>
            <w:pPr>
              <w:pStyle w:val="Style15"/>
              <w:spacing w:before="0" w:after="0"/>
              <w:ind w:left="0" w:right="0" w:hanging="0"/>
              <w:rPr>
                <w:sz w:val="28"/>
                <w:szCs w:val="28"/>
              </w:rPr>
            </w:pPr>
            <w:r>
              <w:rPr>
                <w:b w:val="false"/>
                <w:color w:val="000000"/>
                <w:sz w:val="28"/>
                <w:szCs w:val="28"/>
              </w:rPr>
              <w:t>Орловская область, Свердловский район, пгт. Змиевка, ул. Коммунальная , д.1 ( складские помещения)</w:t>
            </w:r>
          </w:p>
          <w:p>
            <w:pPr>
              <w:pStyle w:val="Style15"/>
              <w:spacing w:before="0" w:after="0"/>
              <w:ind w:left="0" w:right="0" w:hanging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>
            <w:pPr>
              <w:pStyle w:val="Style15"/>
              <w:spacing w:before="0" w:after="0"/>
              <w:ind w:left="0" w:right="0" w:hanging="0"/>
              <w:rPr>
                <w:b w:val="false"/>
                <w:b w:val="false"/>
                <w:bCs w:val="false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72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  <w:insideH w:val="single" w:sz="2" w:space="0" w:color="DDDDDD"/>
              <w:insideV w:val="single" w:sz="2" w:space="0" w:color="DDDDDD"/>
            </w:tcBorders>
            <w:shd w:fill="auto" w:val="clear"/>
            <w:vAlign w:val="center"/>
          </w:tcPr>
          <w:p>
            <w:pPr>
              <w:pStyle w:val="Style15"/>
              <w:spacing w:before="0" w:after="0"/>
              <w:ind w:left="0" w:right="0" w:hanging="0"/>
              <w:rPr>
                <w:b w:val="false"/>
                <w:b w:val="false"/>
                <w:bCs w:val="false"/>
              </w:rPr>
            </w:pPr>
            <w:r>
              <w:rPr>
                <w:b w:val="false"/>
                <w:color w:val="000000"/>
                <w:sz w:val="28"/>
                <w:szCs w:val="28"/>
              </w:rPr>
              <w:t>1</w:t>
            </w:r>
          </w:p>
        </w:tc>
      </w:tr>
    </w:tbl>
    <w:p>
      <w:pPr>
        <w:pStyle w:val="Style11"/>
        <w:widowControl/>
        <w:spacing w:before="0" w:after="15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1"/>
        <w:widowControl/>
        <w:spacing w:before="0" w:after="15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Normal"/>
        <w:tabs>
          <w:tab w:val="left" w:pos="2919" w:leader="none"/>
          <w:tab w:val="center" w:pos="5040" w:leader="none"/>
        </w:tabs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Open Sans">
    <w:altName w:val="sans-serif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1377b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basedOn w:val="Normal"/>
    <w:qFormat/>
    <w:pPr>
      <w:keepNext w:val="true"/>
      <w:spacing w:lineRule="auto" w:line="240" w:before="0" w:after="0"/>
      <w:jc w:val="center"/>
      <w:outlineLvl w:val="0"/>
    </w:pPr>
    <w:rPr>
      <w:rFonts w:ascii="Times New Roman" w:hAnsi="Times New Roman"/>
      <w:b/>
      <w:sz w:val="28"/>
      <w:szCs w:val="20"/>
      <w:lang w:val="x-none" w:eastAsia="x-none"/>
    </w:rPr>
  </w:style>
  <w:style w:type="paragraph" w:styleId="2">
    <w:name w:val="Heading 2"/>
    <w:basedOn w:val="Normal"/>
    <w:qFormat/>
    <w:pPr>
      <w:keepNext w:val="true"/>
      <w:spacing w:lineRule="auto" w:line="240" w:before="0" w:after="0"/>
      <w:ind w:left="-142" w:hanging="0"/>
      <w:jc w:val="center"/>
      <w:outlineLvl w:val="1"/>
    </w:pPr>
    <w:rPr>
      <w:rFonts w:ascii="Times New Roman" w:hAnsi="Times New Roman"/>
      <w:sz w:val="36"/>
      <w:szCs w:val="20"/>
      <w:lang w:val="x-none" w:eastAsia="x-none"/>
    </w:rPr>
  </w:style>
  <w:style w:type="paragraph" w:styleId="3">
    <w:name w:val="Heading 3"/>
    <w:basedOn w:val="Normal"/>
    <w:qFormat/>
    <w:pPr>
      <w:keepNext w:val="true"/>
      <w:spacing w:lineRule="auto" w:line="240" w:before="0" w:after="0"/>
      <w:outlineLvl w:val="2"/>
    </w:pPr>
    <w:rPr>
      <w:rFonts w:ascii="Times New Roman" w:hAnsi="Times New Roman"/>
      <w:sz w:val="28"/>
      <w:szCs w:val="24"/>
      <w:lang w:val="x-none" w:eastAsia="x-none"/>
    </w:rPr>
  </w:style>
  <w:style w:type="paragraph" w:styleId="8">
    <w:name w:val="Heading 8"/>
    <w:basedOn w:val="Normal"/>
    <w:qFormat/>
    <w:pPr>
      <w:keepNext w:val="true"/>
      <w:spacing w:lineRule="auto" w:line="240" w:before="0" w:after="0"/>
      <w:jc w:val="center"/>
      <w:outlineLvl w:val="7"/>
    </w:pPr>
    <w:rPr>
      <w:rFonts w:ascii="Times New Roman" w:hAnsi="Times New Roman"/>
      <w:b/>
      <w:sz w:val="32"/>
      <w:szCs w:val="20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Lohit Devanagari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Western" w:customStyle="1">
    <w:name w:val="western"/>
    <w:basedOn w:val="Normal"/>
    <w:qFormat/>
    <w:rsid w:val="0061377b"/>
    <w:pPr>
      <w:spacing w:beforeAutospacing="1" w:afterAutospacing="1"/>
    </w:pPr>
    <w:rPr>
      <w:sz w:val="24"/>
      <w:szCs w:val="24"/>
    </w:rPr>
  </w:style>
  <w:style w:type="paragraph" w:styleId="Style15">
    <w:name w:val="Содержимое таблицы"/>
    <w:basedOn w:val="Normal"/>
    <w:qFormat/>
    <w:pPr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  <w:style w:type="paragraph" w:styleId="Consplusnormal">
    <w:name w:val="consplusnormal"/>
    <w:basedOn w:val="Normal"/>
    <w:qFormat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ConsPlusNormal1">
    <w:name w:val="ConsPlusNormal"/>
    <w:qFormat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Style17">
    <w:name w:val="Body Text Indent"/>
    <w:basedOn w:val="Normal"/>
    <w:pPr>
      <w:spacing w:lineRule="auto" w:line="240" w:before="0" w:after="0"/>
      <w:ind w:firstLine="900"/>
    </w:pPr>
    <w:rPr>
      <w:rFonts w:ascii="Times New Roman" w:hAnsi="Times New Roman"/>
      <w:sz w:val="28"/>
      <w:szCs w:val="24"/>
      <w:lang w:val="x-none" w:eastAsia="x-none"/>
    </w:rPr>
  </w:style>
  <w:style w:type="paragraph" w:styleId="Style18">
    <w:name w:val="Обычный (веб)"/>
    <w:basedOn w:val="Normal"/>
    <w:qFormat/>
    <w:pPr>
      <w:spacing w:before="280" w:after="280"/>
    </w:pPr>
    <w:rPr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61377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LibreOffice/6.0.7.3$Linux_X86_64 LibreOffice_project/00m0$Build-3</Application>
  <Pages>6</Pages>
  <Words>1201</Words>
  <Characters>9297</Characters>
  <CharactersWithSpaces>11275</CharactersWithSpaces>
  <Paragraphs>59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2019-02-06T06:24:00Z</dcterms:created>
  <dc:creator>RePack by Diakov</dc:creator>
  <dc:description/>
  <dc:language>ru-RU</dc:language>
  <cp:lastModifiedBy/>
  <dcterms:modified xsi:type="dcterms:W3CDTF">2019-07-01T11:00:38Z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